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40"/>
        <w:jc w:val="left"/>
      </w:pPr>
      <w:r>
        <w:rPr>
          <w:b/>
          <w:color w:val="373737"/>
          <w:sz w:val="24"/>
        </w:rPr>
        <w:t>Gences Construction</w:t>
      </w:r>
    </w:p>
    <w:p>
      <w:pPr>
        <w:pStyle w:val="Title"/>
      </w:pPr>
      <w:r>
        <w:t>Kuzey Kıbrıs Türk Cumhuriyeti Şehircilik ve İmar Kuralları</w:t>
      </w:r>
    </w:p>
    <w:p>
      <w:pPr>
        <w:spacing w:after="400"/>
      </w:pPr>
      <w:r>
        <w:rPr>
          <w:color w:val="414141"/>
          <w:sz w:val="28"/>
        </w:rPr>
        <w:t>Bölgesel ana rehber ve resmî kaynak dizini</w:t>
      </w:r>
    </w:p>
    <w:p>
      <w:pPr>
        <w:spacing w:before="360"/>
      </w:pPr>
      <w:r>
        <w:rPr>
          <w:b/>
        </w:rPr>
        <w:t xml:space="preserve">Hazırlanma tarihi  </w:t>
      </w:r>
      <w:r>
        <w:t>24 Eylül 2026</w:t>
      </w:r>
    </w:p>
    <w:p>
      <w:r>
        <w:rPr>
          <w:b/>
        </w:rPr>
        <w:t xml:space="preserve">Kullanım amacı  </w:t>
      </w:r>
      <w:r>
        <w:t>Arsa ön incelemesi, proje fizibilitesi ve resmî planlama kontrolü</w:t>
      </w:r>
    </w:p>
    <w:p>
      <w:r>
        <w:t>Bu rehber, bir taşınmazın geliştirme potansiyelini hızlı ve düzenli biçimde değerlendirmek için hazırlanmıştır. Kesin yapılaşma hakkı; taşınmazın parsel kimliği, yürürlükteki harita, plan notları, özel kısıtlar ve yetkili makamın yazılı görüşü birlikte incelenerek belirlenir.</w:t>
      </w:r>
    </w:p>
    <w:p>
      <w:pPr>
        <w:pStyle w:val="SmallNote"/>
      </w:pPr>
      <w:r>
        <w:rPr>
          <w:b/>
        </w:rPr>
        <w:t xml:space="preserve">Önemli  </w:t>
      </w:r>
      <w:r>
        <w:t>Bu belge resmî izin veya hukuki görüş yerine geçmez. Başvuru öncesinde güncel plan ve Resmî Gazete değişiklikleri yeniden doğrulanmalıdır.</w:t>
      </w:r>
    </w:p>
    <w:p>
      <w:r>
        <w:br w:type="page"/>
      </w:r>
    </w:p>
    <w:p>
      <w:pPr>
        <w:pStyle w:val="Heading1"/>
      </w:pPr>
      <w:r>
        <w:t>Belgenin kapsamı</w:t>
      </w:r>
    </w:p>
    <w:p>
      <w:r>
        <w:t>Kuzey Kıbrıs Türk Cumhuriyeti’nde yapılaşma kuralları tek bir oran tablosundan oluşmaz. Bir parselin hakkı; ülkesel politika, ilgili imar veya çevre planı, emirname, planlama onayı mevzuatı, yol ve bina kuralları ve parsel üzerindeki özel kısıtların birlikte okunmasıyla belirlenir. Bu rehber bütün ilçelerde hangi belgeye bakılması gerektiğini gösterir ve parsel incelemesinde kullanılacak kontrol alanlarını standartlaştırır.</w:t>
      </w:r>
    </w:p>
    <w:p>
      <w:pPr>
        <w:pStyle w:val="Heading1"/>
      </w:pPr>
      <w:r>
        <w:t>Planlama hiyerarşisi</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792"/>
            <w:shd w:fill="17365D"/>
            <w:vAlign w:val="center"/>
            <w:tcMar>
              <w:top w:w="100" w:type="dxa"/>
              <w:start w:w="120" w:type="dxa"/>
              <w:bottom w:w="100" w:type="dxa"/>
              <w:end w:w="120" w:type="dxa"/>
            </w:tcMar>
          </w:tcPr>
          <w:p>
            <w:pPr>
              <w:jc w:val="center"/>
            </w:pPr>
            <w:r>
              <w:rPr>
                <w:rFonts w:ascii="Aptos" w:hAnsi="Aptos"/>
                <w:b/>
                <w:color w:val="FFFFFF"/>
                <w:sz w:val="17"/>
              </w:rPr>
              <w:t>Sıra</w:t>
            </w:r>
          </w:p>
        </w:tc>
        <w:tc>
          <w:tcPr>
            <w:tcW w:type="dxa" w:w="3384"/>
            <w:shd w:fill="17365D"/>
            <w:vAlign w:val="center"/>
            <w:tcMar>
              <w:top w:w="100" w:type="dxa"/>
              <w:start w:w="120" w:type="dxa"/>
              <w:bottom w:w="100" w:type="dxa"/>
              <w:end w:w="120" w:type="dxa"/>
            </w:tcMar>
          </w:tcPr>
          <w:p>
            <w:pPr>
              <w:jc w:val="center"/>
            </w:pPr>
            <w:r>
              <w:rPr>
                <w:rFonts w:ascii="Aptos" w:hAnsi="Aptos"/>
                <w:b/>
                <w:color w:val="FFFFFF"/>
                <w:sz w:val="17"/>
              </w:rPr>
              <w:t>Belge</w:t>
            </w:r>
          </w:p>
        </w:tc>
        <w:tc>
          <w:tcPr>
            <w:tcW w:type="dxa" w:w="5832"/>
            <w:shd w:fill="17365D"/>
            <w:vAlign w:val="center"/>
            <w:tcMar>
              <w:top w:w="100" w:type="dxa"/>
              <w:start w:w="120" w:type="dxa"/>
              <w:bottom w:w="100" w:type="dxa"/>
              <w:end w:w="120" w:type="dxa"/>
            </w:tcMar>
          </w:tcPr>
          <w:p>
            <w:pPr>
              <w:jc w:val="center"/>
            </w:pPr>
            <w:r>
              <w:rPr>
                <w:rFonts w:ascii="Aptos" w:hAnsi="Aptos"/>
                <w:b/>
                <w:color w:val="FFFFFF"/>
                <w:sz w:val="17"/>
              </w:rPr>
              <w:t>Uygulamadaki işlevi</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1</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55 1989 İmar Yasası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Planlama sistemi, planlama onayı, plan ve emirname yetkilerinin temel çerçevesi</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2</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47 1998 Şehir Planlama Dairesi Yasası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Planlama makamının görev ve yetkileri</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3</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Ülkesel Fizik Planı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Ülke ölçeğinde yerleşme, ulaşım, tarım, turizm, çevre ve altyapı politikaları</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4</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İmar ve çevre planları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Plan sınırı içindeki kullanım, yoğunluk, yapı arsa oranı, yükseklik ve yerel politikalar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5</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Emirnameler</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Plan bulunmayan veya özel denetim gereken alanlarda bağlayıcı geçici veya bölgesel kurallar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6</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Fasıl 96 ve ilgili tüzükler</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Yol, bina, ruhsat, çekme, sağlık ve teknik düzenlemeler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7</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Özel koruma ve sektörel mevzuat</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Çevre, sahil, eski eser, orman, dere, yangın, engelli erişimi ve kurum görüşleri</w:t>
            </w:r>
          </w:p>
        </w:tc>
      </w:tr>
    </w:tbl>
    <w:p>
      <w:pPr>
        <w:spacing w:after="40"/>
      </w:pPr>
    </w:p>
    <w:p>
      <w:pPr>
        <w:pStyle w:val="Heading1"/>
      </w:pPr>
      <w:r>
        <w:t>Yürürlükteki planlar</w:t>
      </w:r>
    </w:p>
    <w:p>
      <w:r>
        <w:t>Şehir Planlama Dairesinin yürürlükteki planlar sayfasında aşağıdaki sekiz plan listelenmektedir. Bir parselin bu planlardan birine girip girmediği kadastral pafta ve plan sınırı üzerinden kontrol edilmelidir.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520"/>
        <w:gridCol w:w="2520"/>
        <w:gridCol w:w="2520"/>
        <w:gridCol w:w="2520"/>
      </w:tblGrid>
      <w:tr>
        <w:trPr>
          <w:tblHeader w:val="true"/>
          <w:cantSplit/>
        </w:trPr>
        <w:tc>
          <w:tcPr>
            <w:tcW w:type="dxa" w:w="576"/>
            <w:shd w:fill="17365D"/>
            <w:vAlign w:val="center"/>
            <w:tcMar>
              <w:top w:w="100" w:type="dxa"/>
              <w:start w:w="120" w:type="dxa"/>
              <w:bottom w:w="100" w:type="dxa"/>
              <w:end w:w="120" w:type="dxa"/>
            </w:tcMar>
          </w:tcPr>
          <w:p>
            <w:pPr>
              <w:jc w:val="center"/>
            </w:pPr>
            <w:r>
              <w:rPr>
                <w:rFonts w:ascii="Aptos" w:hAnsi="Aptos"/>
                <w:b/>
                <w:color w:val="FFFFFF"/>
                <w:sz w:val="16"/>
              </w:rPr>
              <w:t>No</w:t>
            </w:r>
          </w:p>
        </w:tc>
        <w:tc>
          <w:tcPr>
            <w:tcW w:type="dxa" w:w="2952"/>
            <w:shd w:fill="17365D"/>
            <w:vAlign w:val="center"/>
            <w:tcMar>
              <w:top w:w="100" w:type="dxa"/>
              <w:start w:w="120" w:type="dxa"/>
              <w:bottom w:w="100" w:type="dxa"/>
              <w:end w:w="120" w:type="dxa"/>
            </w:tcMar>
          </w:tcPr>
          <w:p>
            <w:pPr>
              <w:jc w:val="center"/>
            </w:pPr>
            <w:r>
              <w:rPr>
                <w:rFonts w:ascii="Aptos" w:hAnsi="Aptos"/>
                <w:b/>
                <w:color w:val="FFFFFF"/>
                <w:sz w:val="16"/>
              </w:rPr>
              <w:t>Plan</w:t>
            </w:r>
          </w:p>
        </w:tc>
        <w:tc>
          <w:tcPr>
            <w:tcW w:type="dxa" w:w="3528"/>
            <w:shd w:fill="17365D"/>
            <w:vAlign w:val="center"/>
            <w:tcMar>
              <w:top w:w="100" w:type="dxa"/>
              <w:start w:w="120" w:type="dxa"/>
              <w:bottom w:w="100" w:type="dxa"/>
              <w:end w:w="120" w:type="dxa"/>
            </w:tcMar>
          </w:tcPr>
          <w:p>
            <w:pPr>
              <w:jc w:val="center"/>
            </w:pPr>
            <w:r>
              <w:rPr>
                <w:rFonts w:ascii="Aptos" w:hAnsi="Aptos"/>
                <w:b/>
                <w:color w:val="FFFFFF"/>
                <w:sz w:val="16"/>
              </w:rPr>
              <w:t>Ana kapsam</w:t>
            </w:r>
          </w:p>
        </w:tc>
        <w:tc>
          <w:tcPr>
            <w:tcW w:type="dxa" w:w="3240"/>
            <w:shd w:fill="17365D"/>
            <w:vAlign w:val="center"/>
            <w:tcMar>
              <w:top w:w="100" w:type="dxa"/>
              <w:start w:w="120" w:type="dxa"/>
              <w:bottom w:w="100" w:type="dxa"/>
              <w:end w:w="120" w:type="dxa"/>
            </w:tcMar>
          </w:tcPr>
          <w:p>
            <w:pPr>
              <w:jc w:val="center"/>
            </w:pPr>
            <w:r>
              <w:rPr>
                <w:rFonts w:ascii="Aptos" w:hAnsi="Aptos"/>
                <w:b/>
                <w:color w:val="FFFFFF"/>
                <w:sz w:val="16"/>
              </w:rPr>
              <w:t>Kontrol notu</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6"/>
              </w:rPr>
              <w:t>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Gazimağusa İskele Yeniboğaziçi İmar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Gazimağusa, İskele ve Yeniboğaziçi plan alanındaki yerleşimler</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Yürürlükte; değişiklik çalışması ayrıca izlenmeli</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2</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Başkent Lefkoşa İmar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Lefkoşa kentsel alanı ve plan sınırı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23 Temmuz 2025 konsolide değişikliği kontrol edilmeli</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6"/>
              </w:rPr>
              <w:t>3</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Lefkoşa Kent Merkezi Öncelikli Alan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Lefkoşa kent merkezindeki özel uygulama alanı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Öncelikli alan hükümleri genel plandan önce kontrol edilir</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4</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Girne Çatalköy İmar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Girne ve Çatalköy plan sınırı içindeki kentsel ve köyiçi alanlar</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Karar raporu, gelişme haritası ve kadastral paftalar birlikte okunur</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6"/>
              </w:rPr>
              <w:t>5</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Girne Koruma Çevre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Girne tarihî ve korunacak çevre alanları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Koruma hükümleri ve tasarım koşulları ayrıca uygulanır</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6</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Alagadi ÖÇKB Çevre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Alagadi Özel Çevre Koruma Bölgesi</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Çevre planı ve yönetim planı koşulları birlikte uygulanır</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6"/>
              </w:rPr>
              <w:t>7</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Beyarmudu İmar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Beyarmudu plan sınırı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6"/>
              </w:rPr>
              <w:t>Plan haritası ve plan notları esas alınır</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8</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Mehmetçik İmar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Mehmetçik plan sınırı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Plan haritası ve yürürlük değişiklikleri kontrol edilir</w:t>
            </w:r>
          </w:p>
        </w:tc>
      </w:tr>
    </w:tbl>
    <w:p>
      <w:pPr>
        <w:spacing w:after="40"/>
      </w:pPr>
    </w:p>
    <w:p>
      <w:pPr>
        <w:pStyle w:val="Heading2"/>
      </w:pPr>
      <w:r>
        <w:t>Devam eden plan çalışmaları</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3456"/>
            <w:shd w:fill="17365D"/>
            <w:vAlign w:val="center"/>
            <w:tcMar>
              <w:top w:w="100" w:type="dxa"/>
              <w:start w:w="120" w:type="dxa"/>
              <w:bottom w:w="100" w:type="dxa"/>
              <w:end w:w="120" w:type="dxa"/>
            </w:tcMar>
          </w:tcPr>
          <w:p>
            <w:pPr>
              <w:jc w:val="center"/>
            </w:pPr>
            <w:r>
              <w:rPr>
                <w:rFonts w:ascii="Aptos" w:hAnsi="Aptos"/>
                <w:b/>
                <w:color w:val="FFFFFF"/>
                <w:sz w:val="16"/>
              </w:rPr>
              <w:t>Çalışma</w:t>
            </w:r>
          </w:p>
        </w:tc>
        <w:tc>
          <w:tcPr>
            <w:tcW w:type="dxa" w:w="2232"/>
            <w:shd w:fill="17365D"/>
            <w:vAlign w:val="center"/>
            <w:tcMar>
              <w:top w:w="100" w:type="dxa"/>
              <w:start w:w="120" w:type="dxa"/>
              <w:bottom w:w="100" w:type="dxa"/>
              <w:end w:w="120" w:type="dxa"/>
            </w:tcMar>
          </w:tcPr>
          <w:p>
            <w:pPr>
              <w:jc w:val="center"/>
            </w:pPr>
            <w:r>
              <w:rPr>
                <w:rFonts w:ascii="Aptos" w:hAnsi="Aptos"/>
                <w:b/>
                <w:color w:val="FFFFFF"/>
                <w:sz w:val="16"/>
              </w:rPr>
              <w:t>Durum</w:t>
            </w:r>
          </w:p>
        </w:tc>
        <w:tc>
          <w:tcPr>
            <w:tcW w:type="dxa" w:w="4608"/>
            <w:shd w:fill="17365D"/>
            <w:vAlign w:val="center"/>
            <w:tcMar>
              <w:top w:w="100" w:type="dxa"/>
              <w:start w:w="120" w:type="dxa"/>
              <w:bottom w:w="100" w:type="dxa"/>
              <w:end w:w="120" w:type="dxa"/>
            </w:tcMar>
          </w:tcPr>
          <w:p>
            <w:pPr>
              <w:jc w:val="center"/>
            </w:pPr>
            <w:r>
              <w:rPr>
                <w:rFonts w:ascii="Aptos" w:hAnsi="Aptos"/>
                <w:b/>
                <w:color w:val="FFFFFF"/>
                <w:sz w:val="16"/>
              </w:rPr>
              <w:t>Uygulama notu</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Lefke İmar Planı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Devam eden çalışma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Yürürlüğe girene kadar mevcut mevzuat ve geçerli kararlar esas alınır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Dikmen İmar Planı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Devam eden çalışma</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Taslak hükümler yürürlükteki hükümlerle karıştırılmamalıdır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Gazimağusa İskele Yeniboğaziçi İmar Planı değişikliği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Revizyon süreci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Mevcut plan ile yeni yürürlük tarihi ayrıca doğrulanmalıdır</w:t>
            </w:r>
          </w:p>
        </w:tc>
      </w:tr>
    </w:tbl>
    <w:p>
      <w:pPr>
        <w:spacing w:after="40"/>
      </w:pPr>
    </w:p>
    <w:p>
      <w:pPr>
        <w:pStyle w:val="Heading1"/>
      </w:pPr>
      <w:r>
        <w:t>Emirname ve özel denetim alanları</w:t>
      </w:r>
    </w:p>
    <w:p>
      <w:r>
        <w:t>Resmî arşivlerde aşağıdaki emirname ve özel denetim bölgeleri bulunmaktadır. Bazı alanlarda daha sonra imar planı yürürlüğe girmiş veya hükümler değiştirilmiş olabilir. Bu nedenle emirnamenin yalnız adıyla işlem yapılmamalı, son Resmî Gazete değişikliği ve plan sınırı kontrol edilmelidir.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3384"/>
            <w:shd w:fill="17365D"/>
            <w:vAlign w:val="center"/>
            <w:tcMar>
              <w:top w:w="100" w:type="dxa"/>
              <w:start w:w="120" w:type="dxa"/>
              <w:bottom w:w="100" w:type="dxa"/>
              <w:end w:w="120" w:type="dxa"/>
            </w:tcMar>
          </w:tcPr>
          <w:p>
            <w:pPr>
              <w:jc w:val="center"/>
            </w:pPr>
            <w:r>
              <w:rPr>
                <w:rFonts w:ascii="Aptos" w:hAnsi="Aptos"/>
                <w:b/>
                <w:color w:val="FFFFFF"/>
                <w:sz w:val="16"/>
              </w:rPr>
              <w:t>Belge veya alan</w:t>
            </w:r>
          </w:p>
        </w:tc>
        <w:tc>
          <w:tcPr>
            <w:tcW w:type="dxa" w:w="3672"/>
            <w:shd w:fill="17365D"/>
            <w:vAlign w:val="center"/>
            <w:tcMar>
              <w:top w:w="100" w:type="dxa"/>
              <w:start w:w="120" w:type="dxa"/>
              <w:bottom w:w="100" w:type="dxa"/>
              <w:end w:w="120" w:type="dxa"/>
            </w:tcMar>
          </w:tcPr>
          <w:p>
            <w:pPr>
              <w:jc w:val="center"/>
            </w:pPr>
            <w:r>
              <w:rPr>
                <w:rFonts w:ascii="Aptos" w:hAnsi="Aptos"/>
                <w:b/>
                <w:color w:val="FFFFFF"/>
                <w:sz w:val="16"/>
              </w:rPr>
              <w:t>Genel kapsam</w:t>
            </w:r>
          </w:p>
        </w:tc>
        <w:tc>
          <w:tcPr>
            <w:tcW w:type="dxa" w:w="3240"/>
            <w:shd w:fill="17365D"/>
            <w:vAlign w:val="center"/>
            <w:tcMar>
              <w:top w:w="100" w:type="dxa"/>
              <w:start w:w="120" w:type="dxa"/>
              <w:bottom w:w="100" w:type="dxa"/>
              <w:end w:w="120" w:type="dxa"/>
            </w:tcMar>
          </w:tcPr>
          <w:p>
            <w:pPr>
              <w:jc w:val="center"/>
            </w:pPr>
            <w:r>
              <w:rPr>
                <w:rFonts w:ascii="Aptos" w:hAnsi="Aptos"/>
                <w:b/>
                <w:color w:val="FFFFFF"/>
                <w:sz w:val="16"/>
              </w:rPr>
              <w:t>Zorunlu kontrol</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Girne Birinci Bölge Emirnamesi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Girne batı ve çevre yerleşimlerinin ilgili sınırları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Son değişiklik ve pafta sınırı doğrulanmalı</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Girne İkinci Bölge Kapsamlı Emirnamesi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Girne çevresindeki tanımlı renk ve kullanım bölgeleri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Bölge rengi, kullanım ve yoğunluk hükmü birlikte okunmalı</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Girne Boğaz Bölgesi Emirnamesi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Girne Boğazı çevresindeki tanımlı alan</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Yol, eğim ve özel alan koşulları kontrol edilmeli</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Tatlısu Büyükkonuk Bölgesi Emirnamesi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Tatlısu ve Büyükkonuk planlama sınırı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Sahil, köyiçi ve turizm koşulları ayrıştırılmalı</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Karpaz Bölgesi Denetim ve Geliştirme Emirnamesi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Dipkarpaz ve Karpaz yarımadasındaki tanımlı yerleşimler</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Koruma, kıyı ve turizm gelişme alanları ayrıca incelenmeli</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Bafra ve Yakın Çevresi Emirnamesi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Bafra turizm bölgesi ve yakın çevresi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Turizm gelişme şartları ve kurum görüşleri kontrol edilmeli</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Özel Çevre Koruma Bölgeleri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Alagadi, Akdeniz, Tatlısu, Karpaz, Güney Karpaz ve Avtepe gibi alanlar</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Çevre yönetim planı planlama koşullarına ek yükümlülük getirir</w:t>
            </w:r>
          </w:p>
        </w:tc>
      </w:tr>
    </w:tbl>
    <w:p>
      <w:pPr>
        <w:spacing w:after="40"/>
      </w:pPr>
    </w:p>
    <w:p>
      <w:pPr>
        <w:pStyle w:val="Heading1"/>
      </w:pPr>
      <w:r>
        <w:t>İlçe ve bölge bazında hangi belgeye bakılır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1440"/>
            <w:shd w:fill="17365D"/>
            <w:vAlign w:val="center"/>
            <w:tcMar>
              <w:top w:w="100" w:type="dxa"/>
              <w:start w:w="120" w:type="dxa"/>
              <w:bottom w:w="100" w:type="dxa"/>
              <w:end w:w="120" w:type="dxa"/>
            </w:tcMar>
          </w:tcPr>
          <w:p>
            <w:pPr>
              <w:jc w:val="center"/>
            </w:pPr>
            <w:r>
              <w:rPr>
                <w:rFonts w:ascii="Aptos" w:hAnsi="Aptos"/>
                <w:b/>
                <w:color w:val="FFFFFF"/>
                <w:sz w:val="16"/>
              </w:rPr>
              <w:t>İlçe</w:t>
            </w:r>
          </w:p>
        </w:tc>
        <w:tc>
          <w:tcPr>
            <w:tcW w:type="dxa" w:w="4680"/>
            <w:shd w:fill="17365D"/>
            <w:vAlign w:val="center"/>
            <w:tcMar>
              <w:top w:w="100" w:type="dxa"/>
              <w:start w:w="120" w:type="dxa"/>
              <w:bottom w:w="100" w:type="dxa"/>
              <w:end w:w="120" w:type="dxa"/>
            </w:tcMar>
          </w:tcPr>
          <w:p>
            <w:pPr>
              <w:jc w:val="center"/>
            </w:pPr>
            <w:r>
              <w:rPr>
                <w:rFonts w:ascii="Aptos" w:hAnsi="Aptos"/>
                <w:b/>
                <w:color w:val="FFFFFF"/>
                <w:sz w:val="16"/>
              </w:rPr>
              <w:t>Başlıca belge seti</w:t>
            </w:r>
          </w:p>
        </w:tc>
        <w:tc>
          <w:tcPr>
            <w:tcW w:type="dxa" w:w="4176"/>
            <w:shd w:fill="17365D"/>
            <w:vAlign w:val="center"/>
            <w:tcMar>
              <w:top w:w="100" w:type="dxa"/>
              <w:start w:w="120" w:type="dxa"/>
              <w:bottom w:w="100" w:type="dxa"/>
              <w:end w:w="120" w:type="dxa"/>
            </w:tcMar>
          </w:tcPr>
          <w:p>
            <w:pPr>
              <w:jc w:val="center"/>
            </w:pPr>
            <w:r>
              <w:rPr>
                <w:rFonts w:ascii="Aptos" w:hAnsi="Aptos"/>
                <w:b/>
                <w:color w:val="FFFFFF"/>
                <w:sz w:val="16"/>
              </w:rPr>
              <w:t>Dikkat</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Lefkoşa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Başkent Lefkoşa İmar Planı; Kent Merkezi Öncelikli Alan Planı; plan dışında Fasıl 96 ve diğer hükümler</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Gönyeli, Hamitköy, Haspolat, Alayköy ve diğer yerleşimler için plan sınırı pafta üzerinden doğrulanır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Girne</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Girne Çatalköy İmar Planı; Girne Koruma Çevre Planı; Girne 1, Girne 2 ve Girne Boğaz emirnameleri; Alagadi çevre planı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Köyiçi, dağ eteği, sahil ve koruma alanı koşulları farklıdır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Gazimağusa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Gazimağusa İskele Yeniboğaziçi İmar Planı; Beyarmudu ve Mehmetçik planları; plan dışı alan hükümleri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Kıyı, suriçi, sanayi ve köyiçi koşulları ayrı kontrol edilir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İskele</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Gazimağusa İskele Yeniboğaziçi İmar Planı; Tatlısu Büyükkonuk, Karpaz ve Bafra emirnameleri; Mehmetçik planı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Long Beach dahil her parselde plan sınırı ve özel kıyı koşulları doğrulanır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Güzelyurt</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Ülkesel Fizik Planı, Fasıl 96, çevre ve ilgili yerel kararlar</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Tarım arazisi, su koruma, sahil ve köyiçi sınırlamaları önemlidir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Lefke</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Lefke İmar Planı çalışması tamamlanana kadar yürürlükteki genel ve yerel hükümler</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Maden, tarım, kıyı, tarihî çevre ve belediye görüşleri ayrıca alınır</w:t>
            </w:r>
          </w:p>
        </w:tc>
      </w:tr>
    </w:tbl>
    <w:p>
      <w:pPr>
        <w:spacing w:after="40"/>
      </w:pPr>
    </w:p>
    <w:p>
      <w:r>
        <w:br w:type="page"/>
      </w:r>
    </w:p>
    <w:p>
      <w:pPr>
        <w:pStyle w:val="Heading1"/>
      </w:pPr>
      <w:r>
        <w:t>Parsel için çıkarılacak imar verileri</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40"/>
        <w:gridCol w:w="5040"/>
      </w:tblGrid>
      <w:tr>
        <w:trPr>
          <w:tblHeader w:val="true"/>
          <w:cantSplit/>
        </w:trPr>
        <w:tc>
          <w:tcPr>
            <w:tcW w:type="dxa" w:w="3240"/>
            <w:shd w:fill="17365D"/>
            <w:vAlign w:val="center"/>
            <w:tcMar>
              <w:top w:w="100" w:type="dxa"/>
              <w:start w:w="120" w:type="dxa"/>
              <w:bottom w:w="100" w:type="dxa"/>
              <w:end w:w="120" w:type="dxa"/>
            </w:tcMar>
          </w:tcPr>
          <w:p>
            <w:pPr>
              <w:jc w:val="center"/>
            </w:pPr>
            <w:r>
              <w:rPr>
                <w:rFonts w:ascii="Aptos" w:hAnsi="Aptos"/>
                <w:b/>
                <w:color w:val="FFFFFF"/>
                <w:sz w:val="17"/>
              </w:rPr>
              <w:t>Kontrol alanı</w:t>
            </w:r>
          </w:p>
        </w:tc>
        <w:tc>
          <w:tcPr>
            <w:tcW w:type="dxa" w:w="7056"/>
            <w:shd w:fill="17365D"/>
            <w:vAlign w:val="center"/>
            <w:tcMar>
              <w:top w:w="100" w:type="dxa"/>
              <w:start w:w="120" w:type="dxa"/>
              <w:bottom w:w="100" w:type="dxa"/>
              <w:end w:w="120" w:type="dxa"/>
            </w:tcMar>
          </w:tcPr>
          <w:p>
            <w:pPr>
              <w:jc w:val="center"/>
            </w:pPr>
            <w:r>
              <w:rPr>
                <w:rFonts w:ascii="Aptos" w:hAnsi="Aptos"/>
                <w:b/>
                <w:color w:val="FFFFFF"/>
                <w:sz w:val="17"/>
              </w:rPr>
              <w:t>Kaydedilecek bilgi</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Plan ve bölge kimliği</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Plan adı, bölge/renk kodu, pafta harita ve parsel numarası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Kullanım</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Konut, apartman, ticaret, ofis, turizm, sanayi, depo, tarım veya karma kullanım</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Yapılaşma yoğunluğu</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Yapı arsa oranı veya toplam inşaat alanı hesabına esas değer</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Taban alanı</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Azami bina oturum alanı veya kapsam oranı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Kat ve yükseklik</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Azami kat adedi, metre yüksekliği, bodrum ve çatı koşulları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Çekme mesafeleri</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Ön, yan, arka sınır; yol genişleme hattı; sahil ve dere mesafesi</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Parsel koşulları</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Asgari parsel, cephe, derinlik, parselleme ve birleştirme şartları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Otopark ve erişim</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Kullanıma göre araç yeri, servis alanı, engelli erişimi ve yol bağlantısı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Özel kısıtlar</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Eski eser, orman, çevre koruma, jeolojik risk, taşkın, enerji hattı ve altyapı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Başvuru makamı</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Şehir Planlama Dairesi, belediye veya ilgili izin makamı ve gerekli kurum görüşleri</w:t>
            </w:r>
          </w:p>
        </w:tc>
      </w:tr>
    </w:tbl>
    <w:p>
      <w:pPr>
        <w:spacing w:after="40"/>
      </w:pPr>
    </w:p>
    <w:p>
      <w:pPr>
        <w:pStyle w:val="Heading1"/>
      </w:pPr>
      <w:r>
        <w:t>Hızlı kapasite hesabı</w:t>
      </w:r>
    </w:p>
    <w:p>
      <w:r>
        <w:t>Ön fizibilitede toplam kapalı alan, parsel alanı ile yürürlükteki yapılaşma katsayısının çarpılmasıyla tahmin edilir. Taban oturumu ayrıca kapsam oranıyla sınırlandırılır. Ancak merdiven, asansör, bodrum, balkon, teras, ortak alan ve teknik hacimlerin hesaba dahil edilip edilmediği ilgili plan hükümlerinden okunmalıdır.</w:t>
      </w:r>
    </w:p>
    <w:p>
      <w:pPr>
        <w:pStyle w:val="ListBullet"/>
        <w:spacing w:after="60"/>
      </w:pPr>
      <w:r>
        <w:t>Ön tahmin toplam inşaat alanı = parsel alanı × izin verilen yapılaşma katsayısı</w:t>
      </w:r>
    </w:p>
    <w:p>
      <w:pPr>
        <w:pStyle w:val="ListBullet"/>
        <w:spacing w:after="60"/>
      </w:pPr>
      <w:r>
        <w:t>Azami taban oturumu = parsel alanı × izin verilen kapsam oranı</w:t>
      </w:r>
    </w:p>
    <w:p>
      <w:pPr>
        <w:pStyle w:val="ListBullet"/>
        <w:spacing w:after="60"/>
      </w:pPr>
      <w:r>
        <w:t>Teorik kat başına alan = toplam izinli alan ÷ uygulanabilir kat adedi</w:t>
      </w:r>
    </w:p>
    <w:p>
      <w:pPr>
        <w:pStyle w:val="ListBullet"/>
        <w:spacing w:after="60"/>
      </w:pPr>
      <w:r>
        <w:t>Net satılabilir alan, ortak alan, duvar ve teknik hacim düşümleri yapıldıktan sonra ayrıca hesaplanır</w:t>
      </w:r>
    </w:p>
    <w:p>
      <w:pPr>
        <w:pStyle w:val="Heading1"/>
      </w:pPr>
      <w:r>
        <w:t>Arsa inceleme sırası</w:t>
      </w:r>
    </w:p>
    <w:p>
      <w:pPr>
        <w:pStyle w:val="ListNumber"/>
        <w:spacing w:after="60"/>
      </w:pPr>
      <w:r>
        <w:t>Koçan, pafta harita, ada ve parsel bilgilerini alın.</w:t>
      </w:r>
    </w:p>
    <w:p>
      <w:pPr>
        <w:pStyle w:val="ListNumber"/>
        <w:spacing w:after="60"/>
      </w:pPr>
      <w:r>
        <w:t>Parseli yürürlükteki plan veya emirname haritasında işaretleyin.</w:t>
      </w:r>
    </w:p>
    <w:p>
      <w:pPr>
        <w:pStyle w:val="ListNumber"/>
        <w:spacing w:after="60"/>
      </w:pPr>
      <w:r>
        <w:t>Kullanım bölgesi, yoğunluk, kapsam, kat ve yükseklik değerlerini kaydedin.</w:t>
      </w:r>
    </w:p>
    <w:p>
      <w:pPr>
        <w:pStyle w:val="ListNumber"/>
        <w:spacing w:after="60"/>
      </w:pPr>
      <w:r>
        <w:t>Yol genişleme hattı, erişim, altyapı ve çekme koşullarını kontrol edin.</w:t>
      </w:r>
    </w:p>
    <w:p>
      <w:pPr>
        <w:pStyle w:val="ListNumber"/>
        <w:spacing w:after="60"/>
      </w:pPr>
      <w:r>
        <w:t>Çevre, eski eser, sahil, dere, orman, jeoloji ve taşkın kısıtlarını sorgulayın.</w:t>
      </w:r>
    </w:p>
    <w:p>
      <w:pPr>
        <w:pStyle w:val="ListNumber"/>
        <w:spacing w:after="60"/>
      </w:pPr>
      <w:r>
        <w:t>Ön proje kütlesini çıkarın ve otopark ile açık alan gereksinimini test edin.</w:t>
      </w:r>
    </w:p>
    <w:p>
      <w:pPr>
        <w:pStyle w:val="ListNumber"/>
        <w:spacing w:after="60"/>
      </w:pPr>
      <w:r>
        <w:t>Planlama makamından yazılı ön görüş veya planlama onayı alın.</w:t>
      </w:r>
    </w:p>
    <w:p>
      <w:pPr>
        <w:pStyle w:val="Heading1"/>
      </w:pPr>
      <w:r>
        <w:t>Resmî kaynaklar</w:t>
      </w:r>
    </w:p>
    <w:p>
      <w:pPr>
        <w:pStyle w:val="SmallNote"/>
      </w:pPr>
      <w:r>
        <w:rPr>
          <w:b/>
        </w:rPr>
        <w:t xml:space="preserve">Şehir Planlama Dairesi yürürlükteki planlar  </w:t>
      </w:r>
      <w:hyperlink r:id="rId11">
        <w:r>
          <w:rPr>
            <w:color w:val="17365D"/>
            <w:u w:val="single"/>
          </w:rPr>
          <w:t>https://spd.gov.ct.tr/PLANLAR</w:t>
        </w:r>
      </w:hyperlink>
    </w:p>
    <w:p>
      <w:pPr>
        <w:pStyle w:val="SmallNote"/>
      </w:pPr>
      <w:r>
        <w:rPr>
          <w:b/>
        </w:rPr>
        <w:t xml:space="preserve">Şehir Planlama Dairesi mevzuat  </w:t>
      </w:r>
      <w:hyperlink r:id="rId12">
        <w:r>
          <w:rPr>
            <w:color w:val="17365D"/>
            <w:u w:val="single"/>
          </w:rPr>
          <w:t>https://spd.gov.ct.tr/MEVZUAT</w:t>
        </w:r>
      </w:hyperlink>
    </w:p>
    <w:p>
      <w:pPr>
        <w:pStyle w:val="SmallNote"/>
      </w:pPr>
      <w:r>
        <w:rPr>
          <w:b/>
        </w:rPr>
        <w:t xml:space="preserve">Şehir Planlama Dairesi emirnameler  </w:t>
      </w:r>
      <w:hyperlink r:id="rId13">
        <w:r>
          <w:rPr>
            <w:color w:val="17365D"/>
            <w:u w:val="single"/>
          </w:rPr>
          <w:t>https://spd.gov.ct.tr/EM%C4%B0RNAMELER</w:t>
        </w:r>
      </w:hyperlink>
    </w:p>
    <w:p>
      <w:pPr>
        <w:pStyle w:val="SmallNote"/>
      </w:pPr>
      <w:r>
        <w:rPr>
          <w:b/>
        </w:rPr>
        <w:t xml:space="preserve">Ülkesel Fizik Planı  </w:t>
      </w:r>
      <w:hyperlink r:id="rId14">
        <w:r>
          <w:rPr>
            <w:color w:val="17365D"/>
            <w:u w:val="single"/>
          </w:rPr>
          <w:t>https://spd.gov.ct.tr/%C3%9CLKESEL-F%C4%B0Z%C4%B0K-PLANI</w:t>
        </w:r>
      </w:hyperlink>
    </w:p>
    <w:p>
      <w:pPr>
        <w:pStyle w:val="SmallNote"/>
      </w:pPr>
      <w:r>
        <w:rPr>
          <w:b/>
        </w:rPr>
        <w:t xml:space="preserve">Başkent Lefkoşa İmar Planı 23 Temmuz 2025  </w:t>
      </w:r>
      <w:hyperlink r:id="rId15">
        <w:r>
          <w:rPr>
            <w:color w:val="17365D"/>
            <w:u w:val="single"/>
          </w:rPr>
          <w:t>https://spd.gov.ct.tr/BA%C5%9EKENT-LEFKO%C5%9EA-%C4%B0MAR-PLANI-23072025</w:t>
        </w:r>
      </w:hyperlink>
    </w:p>
    <w:p>
      <w:pPr>
        <w:pStyle w:val="SmallNote"/>
      </w:pPr>
      <w:r>
        <w:rPr>
          <w:b/>
        </w:rPr>
        <w:t xml:space="preserve">Girne Çatalköy İmar Planı  </w:t>
      </w:r>
      <w:hyperlink r:id="rId16">
        <w:r>
          <w:rPr>
            <w:color w:val="17365D"/>
            <w:u w:val="single"/>
          </w:rPr>
          <w:t>https://spd.gov.ct.tr/G%C4%B0RNE-%C3%87ATALK%C3%96Y-%C4%B0MAR-PLANI</w:t>
        </w:r>
      </w:hyperlink>
    </w:p>
    <w:p>
      <w:pPr>
        <w:pStyle w:val="SmallNote"/>
      </w:pPr>
      <w:r>
        <w:rPr>
          <w:b/>
        </w:rPr>
        <w:t xml:space="preserve">Gazimağusa İskele Yeniboğaziçi İmar Planı  </w:t>
      </w:r>
      <w:hyperlink r:id="rId17">
        <w:r>
          <w:rPr>
            <w:color w:val="17365D"/>
            <w:u w:val="single"/>
          </w:rPr>
          <w:t>https://spd.gov.ct.tr/Gazima%C4%9Fusa-%C4%B0skele-ve-Yenibo%C4%9Fazi%C3%A7i-B%C3%B6lgesi-Ge%C3%A7i%C5%9F-S%C3%BCreci-Emirnamesi</w:t>
        </w:r>
      </w:hyperlink>
    </w:p>
    <w:p>
      <w:pPr>
        <w:pStyle w:val="SmallNote"/>
      </w:pPr>
      <w:r>
        <w:rPr>
          <w:b/>
        </w:rPr>
        <w:t xml:space="preserve">KKTC Devlet Basımevi ve Resmî Gazete  </w:t>
      </w:r>
      <w:hyperlink r:id="rId18">
        <w:r>
          <w:rPr>
            <w:color w:val="17365D"/>
            <w:u w:val="single"/>
          </w:rPr>
          <w:t>https://basimevi.gov.ct.tr/</w:t>
        </w:r>
      </w:hyperlink>
    </w:p>
    <w:p>
      <w:r>
        <w:br w:type="page"/>
      </w:r>
    </w:p>
    <w:p>
      <w:pPr>
        <w:pStyle w:val="Heading1"/>
      </w:pPr>
      <w:r>
        <w:t>Parsel değerlendirme bilgi formu</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40"/>
        <w:gridCol w:w="5040"/>
      </w:tblGrid>
      <w:tr>
        <w:trPr>
          <w:tblHeader w:val="true"/>
          <w:cantSplit/>
        </w:trPr>
        <w:tc>
          <w:tcPr>
            <w:tcW w:type="dxa" w:w="3528"/>
            <w:shd w:fill="17365D"/>
            <w:vAlign w:val="center"/>
            <w:tcMar>
              <w:top w:w="100" w:type="dxa"/>
              <w:start w:w="120" w:type="dxa"/>
              <w:bottom w:w="100" w:type="dxa"/>
              <w:end w:w="120" w:type="dxa"/>
            </w:tcMar>
          </w:tcPr>
          <w:p>
            <w:pPr>
              <w:jc w:val="center"/>
            </w:pPr>
            <w:r>
              <w:rPr>
                <w:rFonts w:ascii="Aptos" w:hAnsi="Aptos"/>
                <w:b/>
                <w:color w:val="FFFFFF"/>
                <w:sz w:val="18"/>
              </w:rPr>
              <w:t>Bilgi</w:t>
            </w:r>
          </w:p>
        </w:tc>
        <w:tc>
          <w:tcPr>
            <w:tcW w:type="dxa" w:w="6768"/>
            <w:shd w:fill="17365D"/>
            <w:vAlign w:val="center"/>
            <w:tcMar>
              <w:top w:w="100" w:type="dxa"/>
              <w:start w:w="120" w:type="dxa"/>
              <w:bottom w:w="100" w:type="dxa"/>
              <w:end w:w="120" w:type="dxa"/>
            </w:tcMar>
          </w:tcPr>
          <w:p>
            <w:pPr>
              <w:jc w:val="center"/>
            </w:pPr>
            <w:r>
              <w:rPr>
                <w:rFonts w:ascii="Aptos" w:hAnsi="Aptos"/>
                <w:b/>
                <w:color w:val="FFFFFF"/>
                <w:sz w:val="18"/>
              </w:rPr>
              <w:t>Kayıt</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İlçe ve yerleşim</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Pafta harita</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Ada ve parsel</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Koçan türü</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Parsel alanı</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Plan veya emirname</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Bölge kodu</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İzinli kullanım</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Yapılaşma katsayısı</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Kapsam oranı</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Kat ve yükseklik</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Çekmeler</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Otopark</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Özel kısıtlar</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Yetkili makam görüşü</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Ön proje sonucu</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bl>
    <w:p>
      <w:pPr>
        <w:spacing w:after="40"/>
      </w:pPr>
    </w:p>
    <w:sectPr w:rsidR="00FC693F" w:rsidRPr="0006063C" w:rsidSect="00034616">
      <w:headerReference w:type="default" r:id="rId9"/>
      <w:footerReference w:type="default" r:id="rId10"/>
      <w:pgSz w:w="12240" w:h="15840"/>
      <w:pgMar w:top="1037"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5A5A"/>
        <w:sz w:val="16"/>
      </w:rPr>
      <w:t xml:space="preserve">Sayfa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64646"/>
        <w:sz w:val="17"/>
      </w:rPr>
      <w:t>GENCES CONSTRUCTION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before="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ptos" w:hAnsi="Aptos"/>
      <w:color w:val="50505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pd.gov.ct.tr/PLANLAR" TargetMode="External"/><Relationship Id="rId12" Type="http://schemas.openxmlformats.org/officeDocument/2006/relationships/hyperlink" Target="https://spd.gov.ct.tr/MEVZUAT" TargetMode="External"/><Relationship Id="rId13" Type="http://schemas.openxmlformats.org/officeDocument/2006/relationships/hyperlink" Target="https://spd.gov.ct.tr/EM%C4%B0RNAMELER" TargetMode="External"/><Relationship Id="rId14" Type="http://schemas.openxmlformats.org/officeDocument/2006/relationships/hyperlink" Target="https://spd.gov.ct.tr/%C3%9CLKESEL-F%C4%B0Z%C4%B0K-PLANI" TargetMode="External"/><Relationship Id="rId15" Type="http://schemas.openxmlformats.org/officeDocument/2006/relationships/hyperlink" Target="https://spd.gov.ct.tr/BA%C5%9EKENT-LEFKO%C5%9EA-%C4%B0MAR-PLANI-23072025" TargetMode="External"/><Relationship Id="rId16" Type="http://schemas.openxmlformats.org/officeDocument/2006/relationships/hyperlink" Target="https://spd.gov.ct.tr/G%C4%B0RNE-%C3%87ATALK%C3%96Y-%C4%B0MAR-PLANI" TargetMode="External"/><Relationship Id="rId17" Type="http://schemas.openxmlformats.org/officeDocument/2006/relationships/hyperlink" Target="https://spd.gov.ct.tr/Gazima%C4%9Fusa-%C4%B0skele-ve-Yenibo%C4%9Fazi%C3%A7i-B%C3%B6lgesi-Ge%C3%A7i%C5%9F-S%C3%BCreci-Emirnamesi" TargetMode="External"/><Relationship Id="rId18" Type="http://schemas.openxmlformats.org/officeDocument/2006/relationships/hyperlink" Target="https://basimevi.gov.ct.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