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40"/>
        <w:jc w:val="left"/>
      </w:pPr>
      <w:r>
        <w:rPr>
          <w:b/>
          <w:color w:val="373737"/>
          <w:sz w:val="24"/>
        </w:rPr>
        <w:t>IVY NEOS Development</w:t>
      </w:r>
    </w:p>
    <w:p>
      <w:pPr>
        <w:pStyle w:val="Title"/>
      </w:pPr>
      <w:r>
        <w:t>Kıbrıs Cumhuriyeti Şehircilik ve Planlama Kuralları</w:t>
      </w:r>
    </w:p>
    <w:p>
      <w:pPr>
        <w:spacing w:after="400"/>
      </w:pPr>
      <w:r>
        <w:rPr>
          <w:color w:val="414141"/>
          <w:sz w:val="28"/>
        </w:rPr>
        <w:t>Güney Kıbrıs bölgesel ana rehberi ve resmî kaynak dizini</w:t>
      </w:r>
    </w:p>
    <w:p>
      <w:pPr>
        <w:spacing w:before="360"/>
      </w:pPr>
      <w:r>
        <w:rPr>
          <w:b/>
        </w:rPr>
        <w:t xml:space="preserve">Hazırlanma tarihi  </w:t>
      </w:r>
      <w:r>
        <w:t>24 Eylül 2026</w:t>
      </w:r>
    </w:p>
    <w:p>
      <w:r>
        <w:rPr>
          <w:b/>
        </w:rPr>
        <w:t xml:space="preserve">Kullanım amacı  </w:t>
      </w:r>
      <w:r>
        <w:t>Arsa ön incelemesi, proje fizibilitesi ve resmî planlama kontrolü</w:t>
      </w:r>
    </w:p>
    <w:p>
      <w:r>
        <w:t>Bu rehber, bir taşınmazın geliştirme potansiyelini hızlı ve düzenli biçimde değerlendirmek için hazırlanmıştır. Kesin yapılaşma hakkı; taşınmazın parsel kimliği, yürürlükteki harita, plan notları, özel kısıtlar ve yetkili makamın yazılı görüşü birlikte incelenerek belirlenir.</w:t>
      </w:r>
    </w:p>
    <w:p>
      <w:pPr>
        <w:pStyle w:val="SmallNote"/>
      </w:pPr>
      <w:r>
        <w:rPr>
          <w:b/>
        </w:rPr>
        <w:t xml:space="preserve">Önemli  </w:t>
      </w:r>
      <w:r>
        <w:t>Bu belge resmî izin veya hukuki görüş yerine geçmez. Başvuru öncesinde güncel plan ve Resmî Gazete değişiklikleri yeniden doğrulanmalıdır.</w:t>
      </w:r>
    </w:p>
    <w:p>
      <w:r>
        <w:br w:type="page"/>
      </w:r>
    </w:p>
    <w:p>
      <w:pPr>
        <w:pStyle w:val="Heading1"/>
      </w:pPr>
      <w:r>
        <w:t>Belgenin kapsamı</w:t>
      </w:r>
    </w:p>
    <w:p>
      <w:r>
        <w:t>Kıbrıs Cumhuriyeti sınırlarında yapılaşma hakkı parsel bazlı planlama zonu ile belirlenir. Zon kodu tek başına yeterli değildir; ilgili Yerel Plan, Bölge Planı veya Kırsal Alan Politika Belgesi, zon tablosu, özel emirler ve parsel üzerindeki diğer kısıtlar birlikte incelenir. Bu rehber, resmî DLS haritasında yer alan bütün gelişme planı alanlarını ve arsa fizibilitesinde kontrol edilecek temel parametreleri bir araya getirir.</w:t>
      </w:r>
    </w:p>
    <w:p>
      <w:pPr>
        <w:pStyle w:val="Heading1"/>
      </w:pPr>
      <w:r>
        <w:t>Planlama sistemi</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792"/>
            <w:shd w:fill="17365D"/>
            <w:vAlign w:val="center"/>
            <w:tcMar>
              <w:top w:w="100" w:type="dxa"/>
              <w:start w:w="120" w:type="dxa"/>
              <w:bottom w:w="100" w:type="dxa"/>
              <w:end w:w="120" w:type="dxa"/>
            </w:tcMar>
          </w:tcPr>
          <w:p>
            <w:pPr>
              <w:jc w:val="center"/>
            </w:pPr>
            <w:r>
              <w:rPr>
                <w:rFonts w:ascii="Aptos" w:hAnsi="Aptos"/>
                <w:b/>
                <w:color w:val="FFFFFF"/>
                <w:sz w:val="17"/>
              </w:rPr>
              <w:t>Sıra</w:t>
            </w:r>
          </w:p>
        </w:tc>
        <w:tc>
          <w:tcPr>
            <w:tcW w:type="dxa" w:w="3816"/>
            <w:shd w:fill="17365D"/>
            <w:vAlign w:val="center"/>
            <w:tcMar>
              <w:top w:w="100" w:type="dxa"/>
              <w:start w:w="120" w:type="dxa"/>
              <w:bottom w:w="100" w:type="dxa"/>
              <w:end w:w="120" w:type="dxa"/>
            </w:tcMar>
          </w:tcPr>
          <w:p>
            <w:pPr>
              <w:jc w:val="center"/>
            </w:pPr>
            <w:r>
              <w:rPr>
                <w:rFonts w:ascii="Aptos" w:hAnsi="Aptos"/>
                <w:b/>
                <w:color w:val="FFFFFF"/>
                <w:sz w:val="17"/>
              </w:rPr>
              <w:t>Belge türü</w:t>
            </w:r>
          </w:p>
        </w:tc>
        <w:tc>
          <w:tcPr>
            <w:tcW w:type="dxa" w:w="5400"/>
            <w:shd w:fill="17365D"/>
            <w:vAlign w:val="center"/>
            <w:tcMar>
              <w:top w:w="100" w:type="dxa"/>
              <w:start w:w="120" w:type="dxa"/>
              <w:bottom w:w="100" w:type="dxa"/>
              <w:end w:w="120" w:type="dxa"/>
            </w:tcMar>
          </w:tcPr>
          <w:p>
            <w:pPr>
              <w:jc w:val="center"/>
            </w:pPr>
            <w:r>
              <w:rPr>
                <w:rFonts w:ascii="Aptos" w:hAnsi="Aptos"/>
                <w:b/>
                <w:color w:val="FFFFFF"/>
                <w:sz w:val="17"/>
              </w:rPr>
              <w:t>Uygulamadaki işlevi</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1</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Town and Country Planning Law 90 1972</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Plan yapımı, planlama kontrolü ve izin sisteminin temel hukuki çerçevesi</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2</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Local Plans</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Kentsel bölgelerde arazi kullanımı, zonlar, yoğunluk, merkezler, ulaşım ve gelişme politikaları</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3</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Area Schemes</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Belirli merkez veya dönüşüm alanlarında daha ayrıntılı plan hükümleri</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4</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Policy Statement for the Countryside</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Yerel plan dışında kalan kırsal yerleşim ve alanlar için politika ve zon hükümleri</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5</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Special Policy Statements and Orders</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Paralimni, beyaz zon, teşvik ve özel gelişme emirleri gibi özel düzenlemeler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6</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Planning Zones and DLS map</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Parselin zon kodu, gelişme planı sınırı ve kadastral konumunun resmî coğrafi kaydı</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7"/>
              </w:rPr>
              <w:t>7</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Other statutory controls</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7"/>
              </w:rPr>
              <w:t>Sahil, Natura, eski eser, orman, su, yol, taşkın, çevre, yangın ve erişilebilirlik koşulları</w:t>
            </w:r>
          </w:p>
        </w:tc>
      </w:tr>
    </w:tbl>
    <w:p>
      <w:pPr>
        <w:spacing w:after="40"/>
      </w:pPr>
    </w:p>
    <w:p>
      <w:pPr>
        <w:pStyle w:val="Heading1"/>
      </w:pPr>
      <w:r>
        <w:t>Resmî gelişme planı alanları</w:t>
      </w:r>
    </w:p>
    <w:p>
      <w:r>
        <w:t>DLS resmî coğrafi servisinde 31 ayrı gelişme planı alanı gösterilmektedir. Aşağıdaki liste resmî Yunanca adları ve Türkçe açıklamalarıyla verilmiştir.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520"/>
        <w:gridCol w:w="2520"/>
        <w:gridCol w:w="2520"/>
        <w:gridCol w:w="2520"/>
      </w:tblGrid>
      <w:tr>
        <w:trPr>
          <w:tblHeader w:val="true"/>
          <w:cantSplit/>
        </w:trPr>
        <w:tc>
          <w:tcPr>
            <w:tcW w:type="dxa" w:w="504"/>
            <w:shd w:fill="17365D"/>
            <w:vAlign w:val="center"/>
            <w:tcMar>
              <w:top w:w="100" w:type="dxa"/>
              <w:start w:w="120" w:type="dxa"/>
              <w:bottom w:w="100" w:type="dxa"/>
              <w:end w:w="120" w:type="dxa"/>
            </w:tcMar>
          </w:tcPr>
          <w:p>
            <w:pPr>
              <w:jc w:val="center"/>
            </w:pPr>
            <w:r>
              <w:rPr>
                <w:rFonts w:ascii="Aptos" w:hAnsi="Aptos"/>
                <w:b/>
                <w:color w:val="FFFFFF"/>
                <w:sz w:val="15"/>
              </w:rPr>
              <w:t>No</w:t>
            </w:r>
          </w:p>
        </w:tc>
        <w:tc>
          <w:tcPr>
            <w:tcW w:type="dxa" w:w="4392"/>
            <w:shd w:fill="17365D"/>
            <w:vAlign w:val="center"/>
            <w:tcMar>
              <w:top w:w="100" w:type="dxa"/>
              <w:start w:w="120" w:type="dxa"/>
              <w:bottom w:w="100" w:type="dxa"/>
              <w:end w:w="120" w:type="dxa"/>
            </w:tcMar>
          </w:tcPr>
          <w:p>
            <w:pPr>
              <w:jc w:val="center"/>
            </w:pPr>
            <w:r>
              <w:rPr>
                <w:rFonts w:ascii="Aptos" w:hAnsi="Aptos"/>
                <w:b/>
                <w:color w:val="FFFFFF"/>
                <w:sz w:val="15"/>
              </w:rPr>
              <w:t>Resmî ad</w:t>
            </w:r>
          </w:p>
        </w:tc>
        <w:tc>
          <w:tcPr>
            <w:tcW w:type="dxa" w:w="3672"/>
            <w:shd w:fill="17365D"/>
            <w:vAlign w:val="center"/>
            <w:tcMar>
              <w:top w:w="100" w:type="dxa"/>
              <w:start w:w="120" w:type="dxa"/>
              <w:bottom w:w="100" w:type="dxa"/>
              <w:end w:w="120" w:type="dxa"/>
            </w:tcMar>
          </w:tcPr>
          <w:p>
            <w:pPr>
              <w:jc w:val="center"/>
            </w:pPr>
            <w:r>
              <w:rPr>
                <w:rFonts w:ascii="Aptos" w:hAnsi="Aptos"/>
                <w:b/>
                <w:color w:val="FFFFFF"/>
                <w:sz w:val="15"/>
              </w:rPr>
              <w:t>Türkçe karşılık</w:t>
            </w:r>
          </w:p>
        </w:tc>
        <w:tc>
          <w:tcPr>
            <w:tcW w:type="dxa" w:w="1656"/>
            <w:shd w:fill="17365D"/>
            <w:vAlign w:val="center"/>
            <w:tcMar>
              <w:top w:w="100" w:type="dxa"/>
              <w:start w:w="120" w:type="dxa"/>
              <w:bottom w:w="100" w:type="dxa"/>
              <w:end w:w="120" w:type="dxa"/>
            </w:tcMar>
          </w:tcPr>
          <w:p>
            <w:pPr>
              <w:jc w:val="center"/>
            </w:pPr>
            <w:r>
              <w:rPr>
                <w:rFonts w:ascii="Aptos" w:hAnsi="Aptos"/>
                <w:b/>
                <w:color w:val="FFFFFF"/>
                <w:sz w:val="15"/>
              </w:rPr>
              <w:t>Tür</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Λευκωσίας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Lefkoşa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Τοπικό Σχέδιο Λεμεσού</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Limasol Yerel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3</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Λάρνακας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Larnaka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4</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Τοπικό Σχέδιο Πάφου</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Baf Yerel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5</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Ελεύθερης Επαρχίας Αμμοχώστου</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Serbest Mağusa Bölgesi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6</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Τοπικό Σχέδιο Ακάμα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Akamas Yerel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7</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Κόλπου Χρυσοχούς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Chrysochous Körfezi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8</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Τοπικό Σχέδιο Λευκάρων</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Lefkara Yerel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9</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Αθηένου</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Athienou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10</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Τοπικό Σχέδιο Τσερίου</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Tseri Yerel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Τοπικό Σχέδιο Νότιας Λευκωσίας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Güney Lefkoşa Yerel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Yerel plan</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12</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Σχέδιο Περιοχής Κέντρου Λευκωσίας</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Lefkoşa Merkez Bölge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Bölge planı</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13</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Σχέδιο Περιοχής Κέντρου Λεμεσού</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Limasol Merkez Bölge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Bölge planı</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14</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Σχέδιο Περιοχής Παλαιού Πυρήνα Στροβόλου</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Strovolos Eski Çekirdek Bölge Planı</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Bölge planı</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15</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Σχέδιο Περιοχής Πρώην Διυλιστηρίων Λάρνακας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Larnaka Eski Rafineri Alanı Bölge Planı</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Bölge planı</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16</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Ειδική Δήλωση Πολιτικής Παραλιμνίου</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Paralimni Özel Politika Belgesi</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Özel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17</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18</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1A</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1A</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19</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2</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2</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20</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3</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3</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21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4</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4</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22</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5</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5</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23</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6</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6</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24</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7</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7</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25</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8</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8</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26</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9</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9</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27</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10</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10</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28</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Χωροταξική Περιοχή 11</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 Mekânsal Bölge 11</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29</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Χωροταξική Περιοχή 12</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 Mekânsal Bölge 12</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Kırsal politika</w:t>
            </w:r>
          </w:p>
        </w:tc>
      </w:tr>
      <w:tr>
        <w:trPr>
          <w:cantSplit/>
        </w:trPr>
        <w:tc>
          <w:tcPr>
            <w:tcW w:type="dxa" w:w="252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30</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Δήλωση Πολιτικής Βάσεων Ακρωτηρίου</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Akrotiri Egemen Üs Bölgesi Politika Belgesi</w:t>
            </w:r>
          </w:p>
        </w:tc>
        <w:tc>
          <w:tcPr>
            <w:tcW w:type="dxa" w:w="252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SBA ayrı sistem</w:t>
            </w:r>
          </w:p>
        </w:tc>
      </w:tr>
      <w:tr>
        <w:trPr>
          <w:cantSplit/>
        </w:trPr>
        <w:tc>
          <w:tcPr>
            <w:tcW w:type="dxa" w:w="2520"/>
            <w:vAlign w:val="center"/>
            <w:tcMar>
              <w:top w:w="100" w:type="dxa"/>
              <w:start w:w="120" w:type="dxa"/>
              <w:bottom w:w="100" w:type="dxa"/>
              <w:end w:w="120" w:type="dxa"/>
            </w:tcMar>
          </w:tcPr>
          <w:p>
            <w:pPr>
              <w:spacing w:after="0" w:line="240" w:lineRule="auto"/>
              <w:jc w:val="center"/>
            </w:pPr>
            <w:r>
              <w:rPr>
                <w:rFonts w:ascii="Aptos" w:hAnsi="Aptos"/>
                <w:color w:val="000000"/>
                <w:sz w:val="15"/>
              </w:rPr>
              <w:t>31</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Δήλωση Πολιτικής Βάσεων Δεκέλειας</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Dhekelia Egemen Üs Bölgesi Politika Belgesi</w:t>
            </w:r>
          </w:p>
        </w:tc>
        <w:tc>
          <w:tcPr>
            <w:tcW w:type="dxa" w:w="2520"/>
            <w:vAlign w:val="center"/>
            <w:tcMar>
              <w:top w:w="100" w:type="dxa"/>
              <w:start w:w="120" w:type="dxa"/>
              <w:bottom w:w="100" w:type="dxa"/>
              <w:end w:w="120" w:type="dxa"/>
            </w:tcMar>
          </w:tcPr>
          <w:p>
            <w:pPr>
              <w:spacing w:after="0" w:line="240" w:lineRule="auto"/>
              <w:jc w:val="left"/>
            </w:pPr>
            <w:r>
              <w:rPr>
                <w:rFonts w:ascii="Aptos" w:hAnsi="Aptos"/>
                <w:color w:val="000000"/>
                <w:sz w:val="15"/>
              </w:rPr>
              <w:t>SBA ayrı sistem</w:t>
            </w:r>
          </w:p>
        </w:tc>
      </w:tr>
    </w:tbl>
    <w:p>
      <w:pPr>
        <w:spacing w:after="40"/>
      </w:pPr>
    </w:p>
    <w:p>
      <w:pPr>
        <w:pStyle w:val="Heading1"/>
      </w:pPr>
      <w:r>
        <w:t>İlçe bazında ana planlama çerçevesi</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1512"/>
            <w:shd w:fill="17365D"/>
            <w:vAlign w:val="center"/>
            <w:tcMar>
              <w:top w:w="100" w:type="dxa"/>
              <w:start w:w="120" w:type="dxa"/>
              <w:bottom w:w="100" w:type="dxa"/>
              <w:end w:w="120" w:type="dxa"/>
            </w:tcMar>
          </w:tcPr>
          <w:p>
            <w:pPr>
              <w:jc w:val="center"/>
            </w:pPr>
            <w:r>
              <w:rPr>
                <w:rFonts w:ascii="Aptos" w:hAnsi="Aptos"/>
                <w:b/>
                <w:color w:val="FFFFFF"/>
                <w:sz w:val="15"/>
              </w:rPr>
              <w:t>İlçe</w:t>
            </w:r>
          </w:p>
        </w:tc>
        <w:tc>
          <w:tcPr>
            <w:tcW w:type="dxa" w:w="5112"/>
            <w:shd w:fill="17365D"/>
            <w:vAlign w:val="center"/>
            <w:tcMar>
              <w:top w:w="100" w:type="dxa"/>
              <w:start w:w="120" w:type="dxa"/>
              <w:bottom w:w="100" w:type="dxa"/>
              <w:end w:w="120" w:type="dxa"/>
            </w:tcMar>
          </w:tcPr>
          <w:p>
            <w:pPr>
              <w:jc w:val="center"/>
            </w:pPr>
            <w:r>
              <w:rPr>
                <w:rFonts w:ascii="Aptos" w:hAnsi="Aptos"/>
                <w:b/>
                <w:color w:val="FFFFFF"/>
                <w:sz w:val="15"/>
              </w:rPr>
              <w:t>Başlıca belge seti</w:t>
            </w:r>
          </w:p>
        </w:tc>
        <w:tc>
          <w:tcPr>
            <w:tcW w:type="dxa" w:w="3672"/>
            <w:shd w:fill="17365D"/>
            <w:vAlign w:val="center"/>
            <w:tcMar>
              <w:top w:w="100" w:type="dxa"/>
              <w:start w:w="120" w:type="dxa"/>
              <w:bottom w:w="100" w:type="dxa"/>
              <w:end w:w="120" w:type="dxa"/>
            </w:tcMar>
          </w:tcPr>
          <w:p>
            <w:pPr>
              <w:jc w:val="center"/>
            </w:pPr>
            <w:r>
              <w:rPr>
                <w:rFonts w:ascii="Aptos" w:hAnsi="Aptos"/>
                <w:b/>
                <w:color w:val="FFFFFF"/>
                <w:sz w:val="15"/>
              </w:rPr>
              <w:t>Dikkat</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5"/>
              </w:rPr>
              <w:t>Lefkoşa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Lefkoşa, Güney Lefkoşa ve Tseri yerel planları; Lefkoşa Merkez ve Strovolos Eski Çekirdek bölge planları; kırsalda Policy Statement</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Kentsel merkez, banliyö ve kırsal köyler farklı belgeye tabidir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Limasol</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Limasol Yerel Planı; Limasol Merkez Bölge Planı; kırsal topluluklarda Policy Statement; Akrotiri SBA alanlarında ayrı politika</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Kıyı, yüksek bina, turizm ve merkez teşvikleri ayrıca kontrol edilir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5"/>
              </w:rPr>
              <w:t>Larnaka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Larnaka Yerel Planı; Eski Rafineri Alanı Bölge Planı; Athienou ve Lefkara yerel planları; kırsalda Policy Statement; Dhekelia SBA koşulları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Rafineri dönüşüm alanı ve sahil zonları özel hükümler içerir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5"/>
              </w:rPr>
              <w:t>Baf</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Baf, Akamas ve Chrysochous Körfezi yerel planları; kırsalda Policy Statement</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5"/>
              </w:rPr>
              <w:t>Akamas koruma politikaları, turizm ve Natura kısıtları önemlidir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5"/>
              </w:rPr>
              <w:t>Serbest Mağusa</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Serbest Mağusa Bölgesi Yerel Planı; Paralimni Özel Politika Belgesi; kırsal alan hükümleri</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5"/>
              </w:rPr>
              <w:t>Paralimni, Protaras, Ayia Napa ve Deryneia çevresinde zon ve turizm koşulları parsel bazında değişir</w:t>
            </w:r>
          </w:p>
        </w:tc>
      </w:tr>
    </w:tbl>
    <w:p>
      <w:pPr>
        <w:spacing w:after="40"/>
      </w:pPr>
    </w:p>
    <w:p>
      <w:r>
        <w:br w:type="page"/>
      </w:r>
    </w:p>
    <w:p>
      <w:pPr>
        <w:pStyle w:val="Heading1"/>
      </w:pPr>
      <w:r>
        <w:t>Planlama zonları nasıl okunur</w:t>
      </w:r>
    </w:p>
    <w:p>
      <w:r>
        <w:t>Zon adları Yunanca harf ve sayılardan oluşur. Aynı temel harf ailesi içinde sayı değiştikçe yoğunluk, kapsam, kat, yükseklik veya kullanım koşulu değişebilir. Bu nedenle aşağıdaki sınıflar yalnız işlevi anlamak içindir; hiçbir zon için oran, kat veya metre değeri ilgili planın resmî zon tablosu görülmeden kabul edilmemelidir.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60"/>
        <w:gridCol w:w="3360"/>
        <w:gridCol w:w="3360"/>
      </w:tblGrid>
      <w:tr>
        <w:trPr>
          <w:tblHeader w:val="true"/>
          <w:cantSplit/>
        </w:trPr>
        <w:tc>
          <w:tcPr>
            <w:tcW w:type="dxa" w:w="1944"/>
            <w:shd w:fill="17365D"/>
            <w:vAlign w:val="center"/>
            <w:tcMar>
              <w:top w:w="100" w:type="dxa"/>
              <w:start w:w="120" w:type="dxa"/>
              <w:bottom w:w="100" w:type="dxa"/>
              <w:end w:w="120" w:type="dxa"/>
            </w:tcMar>
          </w:tcPr>
          <w:p>
            <w:pPr>
              <w:jc w:val="center"/>
            </w:pPr>
            <w:r>
              <w:rPr>
                <w:rFonts w:ascii="Aptos" w:hAnsi="Aptos"/>
                <w:b/>
                <w:color w:val="FFFFFF"/>
                <w:sz w:val="16"/>
              </w:rPr>
              <w:t>Kod ailesi</w:t>
            </w:r>
          </w:p>
        </w:tc>
        <w:tc>
          <w:tcPr>
            <w:tcW w:type="dxa" w:w="2952"/>
            <w:shd w:fill="17365D"/>
            <w:vAlign w:val="center"/>
            <w:tcMar>
              <w:top w:w="100" w:type="dxa"/>
              <w:start w:w="120" w:type="dxa"/>
              <w:bottom w:w="100" w:type="dxa"/>
              <w:end w:w="120" w:type="dxa"/>
            </w:tcMar>
          </w:tcPr>
          <w:p>
            <w:pPr>
              <w:jc w:val="center"/>
            </w:pPr>
            <w:r>
              <w:rPr>
                <w:rFonts w:ascii="Aptos" w:hAnsi="Aptos"/>
                <w:b/>
                <w:color w:val="FFFFFF"/>
                <w:sz w:val="16"/>
              </w:rPr>
              <w:t>Genel anlam</w:t>
            </w:r>
          </w:p>
        </w:tc>
        <w:tc>
          <w:tcPr>
            <w:tcW w:type="dxa" w:w="5400"/>
            <w:shd w:fill="17365D"/>
            <w:vAlign w:val="center"/>
            <w:tcMar>
              <w:top w:w="100" w:type="dxa"/>
              <w:start w:w="120" w:type="dxa"/>
              <w:bottom w:w="100" w:type="dxa"/>
              <w:end w:w="120" w:type="dxa"/>
            </w:tcMar>
          </w:tcPr>
          <w:p>
            <w:pPr>
              <w:jc w:val="center"/>
            </w:pPr>
            <w:r>
              <w:rPr>
                <w:rFonts w:ascii="Aptos" w:hAnsi="Aptos"/>
                <w:b/>
                <w:color w:val="FFFFFF"/>
                <w:sz w:val="16"/>
              </w:rPr>
              <w:t>Uygulama notu</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Κα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Konut zonları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Apartman veya müstakil konut ağırlıklı alanlar; alt kod parametreleri değişir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Η</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Köy veya konut gelişme zonları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Kırsal yerleşimlerde konut ve uyumlu kullanımlar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Εβ</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Ticaret ve merkez zonları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Mağaza, ofis, hizmet ve karma kullanımlar; koridor ve merkez politikaları etkili olabilir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Βα ve Ββ</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Sanayi ve atölye zonları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Sanayi sınıfı, çevresel etki ve tampon mesafe koşulları ayrıştırılır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Τ</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Turizm zonları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Otel, turistik köy, tatil konutu ve diğer turizm kullanımları; kullanım türüne göre oran değişebilir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Γ</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Tarım veya kırsal zonlar</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Düşük yoğunluk; tarımsal, konut, turizm veya özel kullanım izinleri politika şartlarına bağlıdır</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Ζ</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Koruma zonları</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Doğal, peyzaj veya ekolojik koruma; gelişme çok sınırlı veya özel izne tabidir</w:t>
            </w:r>
          </w:p>
        </w:tc>
      </w:tr>
      <w:tr>
        <w:trPr>
          <w:cantSplit/>
        </w:trPr>
        <w:tc>
          <w:tcPr>
            <w:tcW w:type="dxa" w:w="3360"/>
            <w:vAlign w:val="center"/>
            <w:tcMar>
              <w:top w:w="100" w:type="dxa"/>
              <w:start w:w="120" w:type="dxa"/>
              <w:bottom w:w="100" w:type="dxa"/>
              <w:end w:w="120" w:type="dxa"/>
            </w:tcMar>
            <w:shd w:fill="F3F7FB"/>
          </w:tcPr>
          <w:p>
            <w:pPr>
              <w:spacing w:after="0" w:line="240" w:lineRule="auto"/>
              <w:jc w:val="center"/>
            </w:pPr>
            <w:r>
              <w:rPr>
                <w:rFonts w:ascii="Aptos" w:hAnsi="Aptos"/>
                <w:color w:val="000000"/>
                <w:sz w:val="16"/>
              </w:rPr>
              <w:t>Αα ve benzeri</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Kamu ve toplumsal kullanım zonları</w:t>
            </w:r>
          </w:p>
        </w:tc>
        <w:tc>
          <w:tcPr>
            <w:tcW w:type="dxa" w:w="3360"/>
            <w:vAlign w:val="center"/>
            <w:tcMar>
              <w:top w:w="100" w:type="dxa"/>
              <w:start w:w="120" w:type="dxa"/>
              <w:bottom w:w="100" w:type="dxa"/>
              <w:end w:w="120" w:type="dxa"/>
            </w:tcMar>
            <w:shd w:fill="F3F7FB"/>
          </w:tcPr>
          <w:p>
            <w:pPr>
              <w:spacing w:after="0" w:line="240" w:lineRule="auto"/>
              <w:jc w:val="left"/>
            </w:pPr>
            <w:r>
              <w:rPr>
                <w:rFonts w:ascii="Aptos" w:hAnsi="Aptos"/>
                <w:color w:val="000000"/>
                <w:sz w:val="16"/>
              </w:rPr>
              <w:t>Okul, kamu binası, spor, sağlık veya toplumsal tesis kullanımları</w:t>
            </w:r>
          </w:p>
        </w:tc>
      </w:tr>
      <w:tr>
        <w:trPr>
          <w:cantSplit/>
        </w:trPr>
        <w:tc>
          <w:tcPr>
            <w:tcW w:type="dxa" w:w="3360"/>
            <w:vAlign w:val="center"/>
            <w:tcMar>
              <w:top w:w="100" w:type="dxa"/>
              <w:start w:w="120" w:type="dxa"/>
              <w:bottom w:w="100" w:type="dxa"/>
              <w:end w:w="120" w:type="dxa"/>
            </w:tcMar>
          </w:tcPr>
          <w:p>
            <w:pPr>
              <w:spacing w:after="0" w:line="240" w:lineRule="auto"/>
              <w:jc w:val="center"/>
            </w:pPr>
            <w:r>
              <w:rPr>
                <w:rFonts w:ascii="Aptos" w:hAnsi="Aptos"/>
                <w:color w:val="000000"/>
                <w:sz w:val="16"/>
              </w:rPr>
              <w:t>Λευκή Ζώνη</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Beyaz zon</w:t>
            </w:r>
          </w:p>
        </w:tc>
        <w:tc>
          <w:tcPr>
            <w:tcW w:type="dxa" w:w="3360"/>
            <w:vAlign w:val="center"/>
            <w:tcMar>
              <w:top w:w="100" w:type="dxa"/>
              <w:start w:w="120" w:type="dxa"/>
              <w:bottom w:w="100" w:type="dxa"/>
              <w:end w:w="120" w:type="dxa"/>
            </w:tcMar>
          </w:tcPr>
          <w:p>
            <w:pPr>
              <w:spacing w:after="0" w:line="240" w:lineRule="auto"/>
              <w:jc w:val="left"/>
            </w:pPr>
            <w:r>
              <w:rPr>
                <w:rFonts w:ascii="Aptos" w:hAnsi="Aptos"/>
                <w:color w:val="000000"/>
                <w:sz w:val="16"/>
              </w:rPr>
              <w:t>Planlama kararı hazırlanana kadar gelişmenin sınırlandığı geçici kontrol alanı</w:t>
            </w:r>
          </w:p>
        </w:tc>
      </w:tr>
    </w:tbl>
    <w:p>
      <w:pPr>
        <w:spacing w:after="40"/>
      </w:pPr>
    </w:p>
    <w:p>
      <w:pPr>
        <w:pStyle w:val="Heading1"/>
      </w:pPr>
      <w:r>
        <w:t>Parsel için kaydedilecek yapılaşma değerleri</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40"/>
        <w:gridCol w:w="5040"/>
      </w:tblGrid>
      <w:tr>
        <w:trPr>
          <w:tblHeader w:val="true"/>
          <w:cantSplit/>
        </w:trPr>
        <w:tc>
          <w:tcPr>
            <w:tcW w:type="dxa" w:w="3744"/>
            <w:shd w:fill="17365D"/>
            <w:vAlign w:val="center"/>
            <w:tcMar>
              <w:top w:w="100" w:type="dxa"/>
              <w:start w:w="120" w:type="dxa"/>
              <w:bottom w:w="100" w:type="dxa"/>
              <w:end w:w="120" w:type="dxa"/>
            </w:tcMar>
          </w:tcPr>
          <w:p>
            <w:pPr>
              <w:jc w:val="center"/>
            </w:pPr>
            <w:r>
              <w:rPr>
                <w:rFonts w:ascii="Aptos" w:hAnsi="Aptos"/>
                <w:b/>
                <w:color w:val="FFFFFF"/>
                <w:sz w:val="17"/>
              </w:rPr>
              <w:t>Alan</w:t>
            </w:r>
          </w:p>
        </w:tc>
        <w:tc>
          <w:tcPr>
            <w:tcW w:type="dxa" w:w="6552"/>
            <w:shd w:fill="17365D"/>
            <w:vAlign w:val="center"/>
            <w:tcMar>
              <w:top w:w="100" w:type="dxa"/>
              <w:start w:w="120" w:type="dxa"/>
              <w:bottom w:w="100" w:type="dxa"/>
              <w:end w:w="120" w:type="dxa"/>
            </w:tcMar>
          </w:tcPr>
          <w:p>
            <w:pPr>
              <w:jc w:val="center"/>
            </w:pPr>
            <w:r>
              <w:rPr>
                <w:rFonts w:ascii="Aptos" w:hAnsi="Aptos"/>
                <w:b/>
                <w:color w:val="FFFFFF"/>
                <w:sz w:val="17"/>
              </w:rPr>
              <w:t>Kayıt edilecek bilgi</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Planning zone</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Zonun tam kodu ve resmî açıklaması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Development plan</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Yerel Plan, Bölge Planı veya Policy Statement adı ve yürürlük yılı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Building density coefficient</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Toplam hesaplanabilir inşaat alanının parsel alanına oranı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Coverage ratio</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Zemin seviyesinde azami bina oturumu</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Maximum floors</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İzin verilen azami kat adedi</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Maximum height</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Metre cinsinden azami yükseklik ve özel çatı hükümleri</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Permitted uses</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Konut, apartman, ticaret, turizm, ofis, sanayi veya diğer kullanım</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Setbacks</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Ön, yan, arka sınırlar; sahil, dere, yol ve komşu kullanımlara mesafeler</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Parking</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Kullanım ve birim sayısına göre araç, engelli ve ziyaretçi parkı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Subdivision conditions</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Asgari parsel, cephe, yol ve yeşil alan terk şartları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Overlays and constraints</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Natura, kıyı koruma, eski eser, listelenmiş bina, orman, taşkın ve beyaz zon</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Competent authority</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İlgili District Local Government Organisation veya özel yetkili makam</w:t>
            </w:r>
          </w:p>
        </w:tc>
      </w:tr>
    </w:tbl>
    <w:p>
      <w:pPr>
        <w:spacing w:after="40"/>
      </w:pPr>
    </w:p>
    <w:p>
      <w:pPr>
        <w:pStyle w:val="Heading1"/>
      </w:pPr>
      <w:r>
        <w:t>Hızlı kapasite hesabı</w:t>
      </w:r>
    </w:p>
    <w:p>
      <w:r>
        <w:t>Ön fizibilitede brüt yapılaşma kapasitesi, parsel alanı ile resmî building density coefficient değerinin çarpılmasıyla bulunur. Azami taban oturumu ayrıca coverage ratio ile sınırlandırılır. Zonun izin verdiği toplam alanın tamamı; çekmeler, yol terki, düzensiz parsel, otopark, yangın yaklaşımı, ortak alan veya koruma koşulları nedeniyle kullanılamayabilir.</w:t>
      </w:r>
    </w:p>
    <w:p>
      <w:pPr>
        <w:pStyle w:val="ListBullet"/>
        <w:spacing w:after="60"/>
      </w:pPr>
      <w:r>
        <w:t>Brüt teorik inşaat alanı = parsel alanı × building density coefficient</w:t>
      </w:r>
    </w:p>
    <w:p>
      <w:pPr>
        <w:pStyle w:val="ListBullet"/>
        <w:spacing w:after="60"/>
      </w:pPr>
      <w:r>
        <w:t>Azami teorik taban alanı = parsel alanı × coverage ratio</w:t>
      </w:r>
    </w:p>
    <w:p>
      <w:pPr>
        <w:pStyle w:val="ListBullet"/>
        <w:spacing w:after="60"/>
      </w:pPr>
      <w:r>
        <w:t>Uygulanabilir proje alanı = teorik hak eksi plan, çekme, erişim ve teknik kayıplar</w:t>
      </w:r>
    </w:p>
    <w:p>
      <w:pPr>
        <w:pStyle w:val="ListBullet"/>
        <w:spacing w:after="60"/>
      </w:pPr>
      <w:r>
        <w:t>Satılabilir alan = uygulanabilir kapalı alan eksi ortak alanlar ve satılamayan teknik hacimler</w:t>
      </w:r>
    </w:p>
    <w:p>
      <w:pPr>
        <w:pStyle w:val="Heading1"/>
      </w:pPr>
      <w:r>
        <w:t>Özel kontroller</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40"/>
        <w:gridCol w:w="5040"/>
      </w:tblGrid>
      <w:tr>
        <w:trPr>
          <w:tblHeader w:val="true"/>
          <w:cantSplit/>
        </w:trPr>
        <w:tc>
          <w:tcPr>
            <w:tcW w:type="dxa" w:w="3240"/>
            <w:shd w:fill="17365D"/>
            <w:vAlign w:val="center"/>
            <w:tcMar>
              <w:top w:w="100" w:type="dxa"/>
              <w:start w:w="120" w:type="dxa"/>
              <w:bottom w:w="100" w:type="dxa"/>
              <w:end w:w="120" w:type="dxa"/>
            </w:tcMar>
          </w:tcPr>
          <w:p>
            <w:pPr>
              <w:jc w:val="center"/>
            </w:pPr>
            <w:r>
              <w:rPr>
                <w:rFonts w:ascii="Aptos" w:hAnsi="Aptos"/>
                <w:b/>
                <w:color w:val="FFFFFF"/>
                <w:sz w:val="17"/>
              </w:rPr>
              <w:t>Kontrol</w:t>
            </w:r>
          </w:p>
        </w:tc>
        <w:tc>
          <w:tcPr>
            <w:tcW w:type="dxa" w:w="7056"/>
            <w:shd w:fill="17365D"/>
            <w:vAlign w:val="center"/>
            <w:tcMar>
              <w:top w:w="100" w:type="dxa"/>
              <w:start w:w="120" w:type="dxa"/>
              <w:bottom w:w="100" w:type="dxa"/>
              <w:end w:w="120" w:type="dxa"/>
            </w:tcMar>
          </w:tcPr>
          <w:p>
            <w:pPr>
              <w:jc w:val="center"/>
            </w:pPr>
            <w:r>
              <w:rPr>
                <w:rFonts w:ascii="Aptos" w:hAnsi="Aptos"/>
                <w:b/>
                <w:color w:val="FFFFFF"/>
                <w:sz w:val="17"/>
              </w:rPr>
              <w:t>İncelenecek konu</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Sahil ve kıyı koruma</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Coast Protection Zone, kamu erişimi, sahil mesafesi ve kıyı düzenleme kararları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Natura ve çevre</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Natura 2000, hassas habitat, ÇED ve çevresel uygunluk</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Eski eser ve listelenmiş yapılar</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Antiquities Department görüşü, koruma emri, cephe ve restorasyon koşulları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Yol ve ulaşım</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Yol genişleme hattı, kavşak görüşü, erişim noktası ve trafik etki çalışması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Taşkın ve jeoloji</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Dere koridoru, taşkın riski, eğim, zemin ve heyelan koşulları</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Su ve kanalizasyon</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Bağlantı kapasitesi, yağmur suyu, arıtma ve ilgili EOA koşulları</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7"/>
              </w:rPr>
              <w:t>Yüksek bina ve teşvik</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7"/>
              </w:rPr>
              <w:t>Yüksek bina politikası, yoğunluk teşvikleri ve geçerlilik tarihleri</w:t>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7"/>
              </w:rPr>
              <w:t>SBA alanları</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7"/>
              </w:rPr>
              <w:t>Akrotiri ve Dhekelia için ayrı planlama makamı ve ayrı politika belgesi</w:t>
            </w:r>
          </w:p>
        </w:tc>
      </w:tr>
    </w:tbl>
    <w:p>
      <w:pPr>
        <w:spacing w:after="40"/>
      </w:pPr>
    </w:p>
    <w:p>
      <w:pPr>
        <w:pStyle w:val="Heading1"/>
      </w:pPr>
      <w:r>
        <w:t>2026 revizyon durumu</w:t>
      </w:r>
    </w:p>
    <w:p>
      <w:r>
        <w:t>Lefkoşa, Limasol, Larnaka ve Baf Yerel Planlarının yeniden hazırlanmasına ilişkin görüş toplama süreci 2026 yılında başlatılmıştır. Yatırım kararı verilirken mevcut yürürlükteki plan ile taslak veya inceleme sürecindeki yeni plan birbirinden ayrılmalı; değişiklik yayımlanıncaya kadar yalnız yürürlükteki hükümler bağlayıcı kabul edilmelidir.</w:t>
      </w:r>
    </w:p>
    <w:p>
      <w:pPr>
        <w:pStyle w:val="Heading1"/>
      </w:pPr>
      <w:r>
        <w:t>Arsa inceleme sırası</w:t>
      </w:r>
    </w:p>
    <w:p>
      <w:pPr>
        <w:pStyle w:val="ListNumber"/>
        <w:spacing w:after="60"/>
      </w:pPr>
      <w:r>
        <w:t>DLS bilgilerini alın: district, municipality veya community, sheet plan, block ve plot.</w:t>
      </w:r>
    </w:p>
    <w:p>
      <w:pPr>
        <w:pStyle w:val="ListNumber"/>
        <w:spacing w:after="60"/>
      </w:pPr>
      <w:r>
        <w:t>DLS Interactive Maps üzerinden parseli ve planning zone katmanını doğrulayın.</w:t>
      </w:r>
    </w:p>
    <w:p>
      <w:pPr>
        <w:pStyle w:val="ListNumber"/>
        <w:spacing w:after="60"/>
      </w:pPr>
      <w:r>
        <w:t>Parselin hangi Development Plan sınırında bulunduğunu kaydedin.</w:t>
      </w:r>
    </w:p>
    <w:p>
      <w:pPr>
        <w:pStyle w:val="ListNumber"/>
        <w:spacing w:after="60"/>
      </w:pPr>
      <w:r>
        <w:t>İlgili planın zon tablosundan density, coverage, floor ve height değerlerini alın.</w:t>
      </w:r>
    </w:p>
    <w:p>
      <w:pPr>
        <w:pStyle w:val="ListNumber"/>
        <w:spacing w:after="60"/>
      </w:pPr>
      <w:r>
        <w:t>İzin verilen kullanım ile hedef projeyi karşılaştırın.</w:t>
      </w:r>
    </w:p>
    <w:p>
      <w:pPr>
        <w:pStyle w:val="ListNumber"/>
        <w:spacing w:after="60"/>
      </w:pPr>
      <w:r>
        <w:t>Kıyı, Natura, eski eser, yol, taşkın, beyaz zon ve diğer katmanları kontrol edin.</w:t>
      </w:r>
    </w:p>
    <w:p>
      <w:pPr>
        <w:pStyle w:val="ListNumber"/>
        <w:spacing w:after="60"/>
      </w:pPr>
      <w:r>
        <w:t>Kütle, otopark ve ortak alan hesabıyla gerçek uygulanabilir kapasiteyi test edin.</w:t>
      </w:r>
    </w:p>
    <w:p>
      <w:pPr>
        <w:pStyle w:val="ListNumber"/>
        <w:spacing w:after="60"/>
      </w:pPr>
      <w:r>
        <w:t>Bağlayıcı işlem öncesinde yetkili EOA veya planlama makamından yazılı teyit alın.</w:t>
      </w:r>
    </w:p>
    <w:p>
      <w:r>
        <w:br w:type="page"/>
      </w:r>
    </w:p>
    <w:p>
      <w:pPr>
        <w:pStyle w:val="Heading1"/>
      </w:pPr>
      <w:r>
        <w:t>Resmî kaynaklar</w:t>
      </w:r>
    </w:p>
    <w:p>
      <w:pPr>
        <w:pStyle w:val="SmallNote"/>
      </w:pPr>
      <w:r>
        <w:rPr>
          <w:b/>
        </w:rPr>
        <w:t xml:space="preserve">Department of Town Planning and Housing gelişme planları  </w:t>
      </w:r>
      <w:hyperlink r:id="rId11">
        <w:r>
          <w:rPr>
            <w:color w:val="17365D"/>
            <w:u w:val="single"/>
          </w:rPr>
          <w:t>https://www.gov.cy/moi-tph/documents/schedia-anaptyxis/</w:t>
        </w:r>
      </w:hyperlink>
    </w:p>
    <w:p>
      <w:pPr>
        <w:pStyle w:val="SmallNote"/>
      </w:pPr>
      <w:r>
        <w:rPr>
          <w:b/>
        </w:rPr>
        <w:t xml:space="preserve">DLS Portal arazi bilgi sistemi  </w:t>
      </w:r>
      <w:hyperlink r:id="rId12">
        <w:r>
          <w:rPr>
            <w:color w:val="17365D"/>
            <w:u w:val="single"/>
          </w:rPr>
          <w:t>https://portal.dls.moi.gov.cy/en/enimerosi/land-information-system/diadiktyaki-platforma-dls-portal/</w:t>
        </w:r>
      </w:hyperlink>
    </w:p>
    <w:p>
      <w:pPr>
        <w:pStyle w:val="SmallNote"/>
      </w:pPr>
      <w:r>
        <w:rPr>
          <w:b/>
        </w:rPr>
        <w:t xml:space="preserve">DLS Interactive Maps  </w:t>
      </w:r>
      <w:hyperlink r:id="rId13">
        <w:r>
          <w:rPr>
            <w:color w:val="17365D"/>
            <w:u w:val="single"/>
          </w:rPr>
          <w:t>https://eservices.dls.moi.gov.cy/</w:t>
        </w:r>
      </w:hyperlink>
    </w:p>
    <w:p>
      <w:pPr>
        <w:pStyle w:val="SmallNote"/>
      </w:pPr>
      <w:r>
        <w:rPr>
          <w:b/>
        </w:rPr>
        <w:t xml:space="preserve">DLS Development Plans resmî harita katmanı  </w:t>
      </w:r>
      <w:hyperlink r:id="rId14">
        <w:r>
          <w:rPr>
            <w:color w:val="17365D"/>
            <w:u w:val="single"/>
          </w:rPr>
          <w:t>https://eservices.dls.moi.gov.cy/arcgis/rest/services/National/CadastralMap_EN/MapServer/11</w:t>
        </w:r>
      </w:hyperlink>
    </w:p>
    <w:p>
      <w:pPr>
        <w:pStyle w:val="SmallNote"/>
      </w:pPr>
      <w:r>
        <w:rPr>
          <w:b/>
        </w:rPr>
        <w:t xml:space="preserve">DLS Planning Zones resmî harita katmanı  </w:t>
      </w:r>
      <w:hyperlink r:id="rId15">
        <w:r>
          <w:rPr>
            <w:color w:val="17365D"/>
            <w:u w:val="single"/>
          </w:rPr>
          <w:t>https://eservices.dls.moi.gov.cy/arcgis/rest/services/National/CadastralMap_EN/MapServer/12</w:t>
        </w:r>
      </w:hyperlink>
    </w:p>
    <w:p>
      <w:pPr>
        <w:pStyle w:val="SmallNote"/>
      </w:pPr>
      <w:r>
        <w:rPr>
          <w:b/>
        </w:rPr>
        <w:t xml:space="preserve">Development Plan hizmet sayfası  </w:t>
      </w:r>
      <w:hyperlink r:id="rId16">
        <w:r>
          <w:rPr>
            <w:color w:val="17365D"/>
            <w:u w:val="single"/>
          </w:rPr>
          <w:t>https://www.gov.cy/en/service/development-plan/</w:t>
        </w:r>
      </w:hyperlink>
    </w:p>
    <w:p>
      <w:pPr>
        <w:pStyle w:val="SmallNote"/>
      </w:pPr>
      <w:r>
        <w:rPr>
          <w:b/>
        </w:rPr>
        <w:t xml:space="preserve">Özel gelişme emirleri  </w:t>
      </w:r>
      <w:hyperlink r:id="rId17">
        <w:r>
          <w:rPr>
            <w:color w:val="17365D"/>
            <w:u w:val="single"/>
          </w:rPr>
          <w:t>https://www.gov.cy/moi-tph/documents/eidika-diatagmata-anaptyxis/</w:t>
        </w:r>
      </w:hyperlink>
    </w:p>
    <w:p>
      <w:r>
        <w:br w:type="page"/>
      </w:r>
    </w:p>
    <w:p>
      <w:pPr>
        <w:pStyle w:val="Heading1"/>
      </w:pPr>
      <w:r>
        <w:t>Parsel değerlendirme bilgi formu</w:t>
      </w:r>
    </w:p>
    <w:tbl>
      <w:tblPr>
        <w:tblStyle w:val="TableGrid"/>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40"/>
        <w:gridCol w:w="5040"/>
      </w:tblGrid>
      <w:tr>
        <w:trPr>
          <w:tblHeader w:val="true"/>
          <w:cantSplit/>
        </w:trPr>
        <w:tc>
          <w:tcPr>
            <w:tcW w:type="dxa" w:w="3528"/>
            <w:shd w:fill="17365D"/>
            <w:vAlign w:val="center"/>
            <w:tcMar>
              <w:top w:w="100" w:type="dxa"/>
              <w:start w:w="120" w:type="dxa"/>
              <w:bottom w:w="100" w:type="dxa"/>
              <w:end w:w="120" w:type="dxa"/>
            </w:tcMar>
          </w:tcPr>
          <w:p>
            <w:pPr>
              <w:jc w:val="center"/>
            </w:pPr>
            <w:r>
              <w:rPr>
                <w:rFonts w:ascii="Aptos" w:hAnsi="Aptos"/>
                <w:b/>
                <w:color w:val="FFFFFF"/>
                <w:sz w:val="18"/>
              </w:rPr>
              <w:t>Bilgi</w:t>
            </w:r>
          </w:p>
        </w:tc>
        <w:tc>
          <w:tcPr>
            <w:tcW w:type="dxa" w:w="6768"/>
            <w:shd w:fill="17365D"/>
            <w:vAlign w:val="center"/>
            <w:tcMar>
              <w:top w:w="100" w:type="dxa"/>
              <w:start w:w="120" w:type="dxa"/>
              <w:bottom w:w="100" w:type="dxa"/>
              <w:end w:w="120" w:type="dxa"/>
            </w:tcMar>
          </w:tcPr>
          <w:p>
            <w:pPr>
              <w:jc w:val="center"/>
            </w:pPr>
            <w:r>
              <w:rPr>
                <w:rFonts w:ascii="Aptos" w:hAnsi="Aptos"/>
                <w:b/>
                <w:color w:val="FFFFFF"/>
                <w:sz w:val="18"/>
              </w:rPr>
              <w:t>Kayıt</w:t>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District</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Municipality veya community</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Sheet plan</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Block ve plot</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Parsel alanı</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Development Plan</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Planning zone</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Permitted use</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Density coefficient</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Coverage ratio</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Floors ve height</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Setbacks</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Parking</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Special constraints</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tcPr>
          <w:p>
            <w:pPr>
              <w:spacing w:after="0" w:line="240" w:lineRule="auto"/>
              <w:jc w:val="center"/>
            </w:pPr>
            <w:r>
              <w:rPr>
                <w:rFonts w:ascii="Aptos" w:hAnsi="Aptos"/>
                <w:color w:val="000000"/>
                <w:sz w:val="18"/>
              </w:rPr>
              <w:t>Authority confirmation</w:t>
            </w:r>
          </w:p>
        </w:tc>
        <w:tc>
          <w:tcPr>
            <w:tcW w:type="dxa" w:w="5040"/>
            <w:vAlign w:val="center"/>
            <w:tcMar>
              <w:top w:w="100" w:type="dxa"/>
              <w:start w:w="120" w:type="dxa"/>
              <w:bottom w:w="100" w:type="dxa"/>
              <w:end w:w="120" w:type="dxa"/>
            </w:tcMar>
          </w:tcPr>
          <w:p>
            <w:pPr>
              <w:spacing w:after="0" w:line="240" w:lineRule="auto"/>
              <w:jc w:val="left"/>
            </w:pPr>
            <w:r>
              <w:rPr>
                <w:rFonts w:ascii="Aptos" w:hAnsi="Aptos"/>
                <w:color w:val="000000"/>
                <w:sz w:val="18"/>
              </w:rPr>
            </w:r>
          </w:p>
        </w:tc>
      </w:tr>
      <w:tr>
        <w:trPr>
          <w:cantSplit/>
        </w:trPr>
        <w:tc>
          <w:tcPr>
            <w:tcW w:type="dxa" w:w="5040"/>
            <w:vAlign w:val="center"/>
            <w:tcMar>
              <w:top w:w="100" w:type="dxa"/>
              <w:start w:w="120" w:type="dxa"/>
              <w:bottom w:w="100" w:type="dxa"/>
              <w:end w:w="120" w:type="dxa"/>
            </w:tcMar>
            <w:shd w:fill="F3F7FB"/>
          </w:tcPr>
          <w:p>
            <w:pPr>
              <w:spacing w:after="0" w:line="240" w:lineRule="auto"/>
              <w:jc w:val="center"/>
            </w:pPr>
            <w:r>
              <w:rPr>
                <w:rFonts w:ascii="Aptos" w:hAnsi="Aptos"/>
                <w:color w:val="000000"/>
                <w:sz w:val="18"/>
              </w:rPr>
              <w:t>Feasibility result</w:t>
            </w:r>
          </w:p>
        </w:tc>
        <w:tc>
          <w:tcPr>
            <w:tcW w:type="dxa" w:w="5040"/>
            <w:vAlign w:val="center"/>
            <w:tcMar>
              <w:top w:w="100" w:type="dxa"/>
              <w:start w:w="120" w:type="dxa"/>
              <w:bottom w:w="100" w:type="dxa"/>
              <w:end w:w="120" w:type="dxa"/>
            </w:tcMar>
            <w:shd w:fill="F3F7FB"/>
          </w:tcPr>
          <w:p>
            <w:pPr>
              <w:spacing w:after="0" w:line="240" w:lineRule="auto"/>
              <w:jc w:val="left"/>
            </w:pPr>
            <w:r>
              <w:rPr>
                <w:rFonts w:ascii="Aptos" w:hAnsi="Aptos"/>
                <w:color w:val="000000"/>
                <w:sz w:val="18"/>
              </w:rPr>
            </w:r>
          </w:p>
        </w:tc>
      </w:tr>
    </w:tbl>
    <w:p>
      <w:pPr>
        <w:spacing w:after="40"/>
      </w:pPr>
    </w:p>
    <w:sectPr w:rsidR="00FC693F" w:rsidRPr="0006063C" w:rsidSect="00034616">
      <w:headerReference w:type="default" r:id="rId9"/>
      <w:footerReference w:type="default" r:id="rId10"/>
      <w:pgSz w:w="12240" w:h="15840"/>
      <w:pgMar w:top="1037"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5A5A"/>
        <w:sz w:val="16"/>
      </w:rPr>
      <w:t xml:space="preserve">Sayfa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64646"/>
        <w:sz w:val="17"/>
      </w:rPr>
      <w:t>IVY NEOS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before="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ptos" w:hAnsi="Aptos"/>
      <w:color w:val="50505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cy/moi-tph/documents/schedia-anaptyxis/" TargetMode="External"/><Relationship Id="rId12" Type="http://schemas.openxmlformats.org/officeDocument/2006/relationships/hyperlink" Target="https://portal.dls.moi.gov.cy/en/enimerosi/land-information-system/diadiktyaki-platforma-dls-portal/" TargetMode="External"/><Relationship Id="rId13" Type="http://schemas.openxmlformats.org/officeDocument/2006/relationships/hyperlink" Target="https://eservices.dls.moi.gov.cy/" TargetMode="External"/><Relationship Id="rId14" Type="http://schemas.openxmlformats.org/officeDocument/2006/relationships/hyperlink" Target="https://eservices.dls.moi.gov.cy/arcgis/rest/services/National/CadastralMap_EN/MapServer/11" TargetMode="External"/><Relationship Id="rId15" Type="http://schemas.openxmlformats.org/officeDocument/2006/relationships/hyperlink" Target="https://eservices.dls.moi.gov.cy/arcgis/rest/services/National/CadastralMap_EN/MapServer/12" TargetMode="External"/><Relationship Id="rId16" Type="http://schemas.openxmlformats.org/officeDocument/2006/relationships/hyperlink" Target="https://www.gov.cy/en/service/development-plan/" TargetMode="External"/><Relationship Id="rId17" Type="http://schemas.openxmlformats.org/officeDocument/2006/relationships/hyperlink" Target="https://www.gov.cy/moi-tph/documents/eidika-diatagmata-anaptyx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